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60" w:rsidRPr="009622FC" w:rsidRDefault="00B42460" w:rsidP="00B42460">
      <w:pPr>
        <w:rPr>
          <w:rFonts w:ascii="Garamond" w:hAnsi="Garamond"/>
          <w:b/>
          <w:sz w:val="72"/>
        </w:rPr>
      </w:pPr>
    </w:p>
    <w:p w:rsidR="00B42460" w:rsidRPr="009622FC" w:rsidRDefault="00B42460" w:rsidP="00B42460">
      <w:pPr>
        <w:rPr>
          <w:rFonts w:ascii="Garamond" w:hAnsi="Garamond"/>
          <w:b/>
          <w:sz w:val="72"/>
          <w:lang w:val="en-US"/>
        </w:rPr>
      </w:pPr>
      <w:r w:rsidRPr="009622FC">
        <w:rPr>
          <w:rFonts w:ascii="Garamond" w:hAnsi="Garamond"/>
          <w:b/>
          <w:sz w:val="72"/>
        </w:rPr>
        <w:t>Uncovering Regional Wealth</w:t>
      </w:r>
    </w:p>
    <w:p w:rsidR="00B42460" w:rsidRPr="009622FC" w:rsidRDefault="00B42460" w:rsidP="00B42460">
      <w:pPr>
        <w:rPr>
          <w:rFonts w:ascii="Garamond" w:hAnsi="Garamond"/>
          <w:b/>
          <w:sz w:val="40"/>
          <w:lang w:val="en-US"/>
        </w:rPr>
      </w:pPr>
      <w:r w:rsidRPr="009622FC">
        <w:rPr>
          <w:rFonts w:ascii="Garamond" w:hAnsi="Garamond"/>
          <w:b/>
          <w:sz w:val="40"/>
        </w:rPr>
        <w:t xml:space="preserve">An Analysis of Budget Policies for </w:t>
      </w:r>
      <w:r w:rsidRPr="009622FC">
        <w:rPr>
          <w:rFonts w:ascii="Garamond" w:hAnsi="Garamond"/>
          <w:b/>
          <w:sz w:val="40"/>
        </w:rPr>
        <w:br/>
        <w:t xml:space="preserve">Land and Forest Governance in </w:t>
      </w:r>
      <w:r w:rsidRPr="009622FC">
        <w:rPr>
          <w:rFonts w:ascii="Garamond" w:hAnsi="Garamond"/>
          <w:b/>
          <w:sz w:val="40"/>
        </w:rPr>
        <w:br/>
        <w:t>Three Provinces and Six Districts in Indonesia</w:t>
      </w: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sz w:val="40"/>
          <w:lang w:val="en-US"/>
        </w:rPr>
      </w:pPr>
      <w:r w:rsidRPr="009622FC">
        <w:rPr>
          <w:rFonts w:ascii="Garamond" w:hAnsi="Garamond"/>
          <w:b/>
          <w:sz w:val="40"/>
        </w:rPr>
        <w:t xml:space="preserve">2013 </w:t>
      </w:r>
    </w:p>
    <w:p w:rsidR="00B42460" w:rsidRPr="00892BE8" w:rsidRDefault="00B42460" w:rsidP="00B42460">
      <w:pPr>
        <w:jc w:val="both"/>
        <w:rPr>
          <w:rFonts w:ascii="Garamond" w:eastAsia="Times New Roman" w:hAnsi="Garamond"/>
          <w:b/>
          <w:bCs/>
          <w:color w:val="1F497D"/>
          <w:lang w:val="en-US"/>
        </w:rPr>
      </w:pPr>
    </w:p>
    <w:p w:rsidR="000D5A7E" w:rsidRPr="009622FC" w:rsidRDefault="000D5A7E" w:rsidP="00B42460">
      <w:pPr>
        <w:spacing w:after="0"/>
        <w:rPr>
          <w:rFonts w:ascii="Garamond" w:hAnsi="Garamond"/>
        </w:rPr>
      </w:pPr>
    </w:p>
    <w:p w:rsidR="000D5A7E" w:rsidRPr="009622FC" w:rsidRDefault="00892BE8" w:rsidP="00B42460">
      <w:pPr>
        <w:spacing w:after="0"/>
        <w:rPr>
          <w:rFonts w:ascii="Garamond" w:hAnsi="Garamond"/>
        </w:rPr>
      </w:pPr>
      <w:r>
        <w:rPr>
          <w:rFonts w:ascii="Garamond" w:hAnsi="Garamond"/>
          <w:noProof/>
          <w:lang w:val="en-US" w:eastAsia="en-US" w:bidi="ar-SA"/>
        </w:rPr>
        <w:drawing>
          <wp:anchor distT="0" distB="0" distL="114300" distR="114300" simplePos="0" relativeHeight="251654144" behindDoc="1" locked="0" layoutInCell="1" allowOverlap="1">
            <wp:simplePos x="0" y="0"/>
            <wp:positionH relativeFrom="column">
              <wp:posOffset>3358515</wp:posOffset>
            </wp:positionH>
            <wp:positionV relativeFrom="paragraph">
              <wp:posOffset>90805</wp:posOffset>
            </wp:positionV>
            <wp:extent cx="1343025" cy="714375"/>
            <wp:effectExtent l="19050" t="0" r="9525" b="0"/>
            <wp:wrapSquare wrapText="bothSides"/>
            <wp:docPr id="39"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cstate="print"/>
                    <a:srcRect/>
                    <a:stretch>
                      <a:fillRect/>
                    </a:stretch>
                  </pic:blipFill>
                  <pic:spPr bwMode="auto">
                    <a:xfrm>
                      <a:off x="0" y="0"/>
                      <a:ext cx="1343025" cy="714375"/>
                    </a:xfrm>
                    <a:prstGeom prst="rect">
                      <a:avLst/>
                    </a:prstGeom>
                    <a:noFill/>
                    <a:ln w="9525">
                      <a:noFill/>
                      <a:miter lim="800000"/>
                      <a:headEnd/>
                      <a:tailEnd/>
                    </a:ln>
                  </pic:spPr>
                </pic:pic>
              </a:graphicData>
            </a:graphic>
          </wp:anchor>
        </w:drawing>
      </w:r>
      <w:r>
        <w:rPr>
          <w:rFonts w:ascii="Garamond" w:hAnsi="Garamond"/>
          <w:noProof/>
          <w:lang w:val="en-US" w:eastAsia="en-US" w:bidi="ar-SA"/>
        </w:rPr>
        <w:drawing>
          <wp:anchor distT="0" distB="0" distL="114300" distR="114300" simplePos="0" relativeHeight="251653120" behindDoc="1" locked="0" layoutInCell="1" allowOverlap="1">
            <wp:simplePos x="0" y="0"/>
            <wp:positionH relativeFrom="column">
              <wp:posOffset>278765</wp:posOffset>
            </wp:positionH>
            <wp:positionV relativeFrom="paragraph">
              <wp:posOffset>33655</wp:posOffset>
            </wp:positionV>
            <wp:extent cx="2251075" cy="828675"/>
            <wp:effectExtent l="19050" t="0" r="0" b="0"/>
            <wp:wrapTight wrapText="bothSides">
              <wp:wrapPolygon edited="0">
                <wp:start x="-183" y="0"/>
                <wp:lineTo x="-183" y="21352"/>
                <wp:lineTo x="21570" y="21352"/>
                <wp:lineTo x="21570" y="0"/>
                <wp:lineTo x="-183" y="0"/>
              </wp:wrapPolygon>
            </wp:wrapTight>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51075" cy="828675"/>
                    </a:xfrm>
                    <a:prstGeom prst="rect">
                      <a:avLst/>
                    </a:prstGeom>
                    <a:noFill/>
                    <a:ln w="9525">
                      <a:noFill/>
                      <a:miter lim="800000"/>
                      <a:headEnd/>
                      <a:tailEnd/>
                    </a:ln>
                  </pic:spPr>
                </pic:pic>
              </a:graphicData>
            </a:graphic>
          </wp:anchor>
        </w:drawing>
      </w:r>
    </w:p>
    <w:p w:rsidR="00B42460" w:rsidRPr="009622FC" w:rsidRDefault="00B42460" w:rsidP="00B42460">
      <w:pPr>
        <w:spacing w:after="0"/>
        <w:rPr>
          <w:rFonts w:ascii="Garamond" w:eastAsia="Times New Roman" w:hAnsi="Garamond"/>
          <w:b/>
          <w:bCs/>
          <w:color w:val="44546A"/>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B42460" w:rsidRPr="009622FC" w:rsidRDefault="00B42460" w:rsidP="00B42460">
      <w:pPr>
        <w:rPr>
          <w:rFonts w:ascii="Garamond" w:hAnsi="Garamond"/>
          <w:b/>
          <w:lang w:val="en-US"/>
        </w:rPr>
      </w:pPr>
    </w:p>
    <w:p w:rsidR="00D23963" w:rsidRPr="009622FC" w:rsidRDefault="00D23963">
      <w:pPr>
        <w:spacing w:after="0" w:line="240" w:lineRule="auto"/>
        <w:rPr>
          <w:rFonts w:ascii="Garamond" w:hAnsi="Garamond"/>
          <w:b/>
          <w:sz w:val="72"/>
        </w:rPr>
      </w:pPr>
      <w:r w:rsidRPr="009622FC">
        <w:rPr>
          <w:rFonts w:ascii="Garamond" w:hAnsi="Garamond"/>
          <w:b/>
          <w:sz w:val="72"/>
        </w:rPr>
        <w:br w:type="page"/>
      </w:r>
    </w:p>
    <w:p w:rsidR="00D23963" w:rsidRPr="009622FC" w:rsidRDefault="00D23963">
      <w:pPr>
        <w:spacing w:after="0" w:line="240" w:lineRule="auto"/>
        <w:rPr>
          <w:rFonts w:ascii="Garamond" w:hAnsi="Garamond"/>
          <w:b/>
          <w:sz w:val="72"/>
        </w:rPr>
      </w:pPr>
      <w:r w:rsidRPr="009622FC">
        <w:rPr>
          <w:rFonts w:ascii="Garamond" w:hAnsi="Garamond"/>
          <w:b/>
          <w:sz w:val="72"/>
        </w:rPr>
        <w:lastRenderedPageBreak/>
        <w:br w:type="page"/>
      </w:r>
    </w:p>
    <w:p w:rsidR="00D23963" w:rsidRPr="009622FC" w:rsidRDefault="00D23963" w:rsidP="00B42460">
      <w:pPr>
        <w:rPr>
          <w:rFonts w:ascii="Garamond" w:hAnsi="Garamond"/>
          <w:b/>
          <w:sz w:val="72"/>
        </w:rPr>
      </w:pPr>
    </w:p>
    <w:p w:rsidR="0031393E" w:rsidRPr="009622FC" w:rsidRDefault="0031393E" w:rsidP="00B42460">
      <w:pPr>
        <w:rPr>
          <w:rFonts w:ascii="Garamond" w:hAnsi="Garamond"/>
          <w:b/>
          <w:sz w:val="72"/>
        </w:rPr>
      </w:pPr>
    </w:p>
    <w:p w:rsidR="00B42460" w:rsidRPr="009622FC" w:rsidRDefault="00B42460" w:rsidP="00B42460">
      <w:pPr>
        <w:rPr>
          <w:rFonts w:ascii="Garamond" w:hAnsi="Garamond"/>
          <w:b/>
          <w:sz w:val="72"/>
          <w:lang w:val="en-US"/>
        </w:rPr>
      </w:pPr>
      <w:r w:rsidRPr="009622FC">
        <w:rPr>
          <w:rFonts w:ascii="Garamond" w:hAnsi="Garamond"/>
          <w:b/>
          <w:sz w:val="72"/>
        </w:rPr>
        <w:t>Uncovering Regional Wealth</w:t>
      </w:r>
    </w:p>
    <w:p w:rsidR="00B42460" w:rsidRPr="009622FC" w:rsidRDefault="00B42460" w:rsidP="00B42460">
      <w:pPr>
        <w:rPr>
          <w:rFonts w:ascii="Garamond" w:hAnsi="Garamond"/>
          <w:b/>
          <w:sz w:val="40"/>
          <w:lang w:val="en-US"/>
        </w:rPr>
      </w:pPr>
      <w:r w:rsidRPr="009622FC">
        <w:rPr>
          <w:rFonts w:ascii="Garamond" w:hAnsi="Garamond"/>
          <w:b/>
          <w:sz w:val="40"/>
        </w:rPr>
        <w:t xml:space="preserve">An Analysis of Budget Policies for </w:t>
      </w:r>
      <w:r w:rsidRPr="009622FC">
        <w:rPr>
          <w:rFonts w:ascii="Garamond" w:hAnsi="Garamond"/>
          <w:b/>
          <w:sz w:val="40"/>
        </w:rPr>
        <w:br/>
        <w:t xml:space="preserve">Land and Forest Governance in </w:t>
      </w:r>
      <w:r w:rsidRPr="009622FC">
        <w:rPr>
          <w:rFonts w:ascii="Garamond" w:hAnsi="Garamond"/>
          <w:b/>
          <w:sz w:val="40"/>
        </w:rPr>
        <w:br/>
        <w:t>Three Provinces and Six Districts in Indonesia</w:t>
      </w:r>
    </w:p>
    <w:p w:rsidR="00B42460" w:rsidRPr="009622FC" w:rsidRDefault="00B42460" w:rsidP="00B42460">
      <w:pPr>
        <w:rPr>
          <w:rFonts w:ascii="Garamond" w:hAnsi="Garamond"/>
          <w:b/>
          <w:sz w:val="40"/>
          <w:lang w:val="en-US"/>
        </w:rPr>
      </w:pPr>
    </w:p>
    <w:p w:rsidR="00B42460" w:rsidRPr="009622FC" w:rsidRDefault="00B42460" w:rsidP="00B42460">
      <w:pPr>
        <w:rPr>
          <w:rFonts w:ascii="Garamond" w:hAnsi="Garamond"/>
          <w:b/>
          <w:sz w:val="40"/>
          <w:lang w:val="en-US"/>
        </w:rPr>
      </w:pPr>
      <w:r w:rsidRPr="009622FC">
        <w:rPr>
          <w:rFonts w:ascii="Garamond" w:hAnsi="Garamond"/>
          <w:b/>
          <w:sz w:val="40"/>
        </w:rPr>
        <w:t>2013</w:t>
      </w:r>
    </w:p>
    <w:p w:rsidR="00B42460" w:rsidRPr="009622FC" w:rsidRDefault="00B42460" w:rsidP="00B42460">
      <w:pPr>
        <w:pStyle w:val="Heading1"/>
        <w:spacing w:before="0" w:after="0" w:line="276" w:lineRule="auto"/>
        <w:rPr>
          <w:rFonts w:ascii="Garamond" w:hAnsi="Garamond"/>
          <w:color w:val="auto"/>
          <w:sz w:val="36"/>
        </w:rPr>
      </w:pPr>
      <w:r w:rsidRPr="009622FC">
        <w:rPr>
          <w:rFonts w:ascii="Garamond" w:hAnsi="Garamond"/>
          <w:color w:val="auto"/>
          <w:sz w:val="36"/>
        </w:rPr>
        <w:lastRenderedPageBreak/>
        <w:t xml:space="preserve">Glossary </w:t>
      </w:r>
    </w:p>
    <w:p w:rsidR="00B42460" w:rsidRPr="009622FC" w:rsidRDefault="00B42460" w:rsidP="00B42460">
      <w:pPr>
        <w:rPr>
          <w:rFonts w:ascii="Garamond" w:hAnsi="Garamond"/>
          <w:sz w:val="14"/>
        </w:rPr>
      </w:pPr>
    </w:p>
    <w:tbl>
      <w:tblPr>
        <w:tblW w:w="9684" w:type="dxa"/>
        <w:tblInd w:w="108" w:type="dxa"/>
        <w:tblLook w:val="04A0"/>
      </w:tblPr>
      <w:tblGrid>
        <w:gridCol w:w="2552"/>
        <w:gridCol w:w="328"/>
        <w:gridCol w:w="6804"/>
      </w:tblGrid>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APBD</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rPr>
                <w:rFonts w:ascii="Garamond" w:hAnsi="Garamond"/>
              </w:rPr>
            </w:pPr>
            <w:r>
              <w:rPr>
                <w:rFonts w:ascii="Garamond" w:hAnsi="Garamond"/>
                <w:lang w:val="en-US"/>
              </w:rPr>
              <w:t>Local Government</w:t>
            </w:r>
            <w:r w:rsidR="00B42460" w:rsidRPr="009622FC">
              <w:rPr>
                <w:rFonts w:ascii="Garamond" w:hAnsi="Garamond"/>
              </w:rPr>
              <w:t xml:space="preserve"> Budget</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APBD-M</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rPr>
                <w:rFonts w:ascii="Garamond" w:hAnsi="Garamond"/>
              </w:rPr>
            </w:pPr>
            <w:r>
              <w:rPr>
                <w:rFonts w:ascii="Garamond" w:hAnsi="Garamond"/>
                <w:lang w:val="en-US"/>
              </w:rPr>
              <w:t>Local Government</w:t>
            </w:r>
            <w:r w:rsidR="00B42460" w:rsidRPr="009622FC">
              <w:rPr>
                <w:rFonts w:ascii="Garamond" w:hAnsi="Garamond"/>
              </w:rPr>
              <w:t xml:space="preserve"> Budget-Original</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 xml:space="preserve">APBD-P       </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rPr>
                <w:rFonts w:ascii="Garamond" w:hAnsi="Garamond"/>
              </w:rPr>
            </w:pPr>
            <w:r>
              <w:rPr>
                <w:rFonts w:ascii="Garamond" w:hAnsi="Garamond"/>
                <w:lang w:val="en-US"/>
              </w:rPr>
              <w:t>Local Government</w:t>
            </w:r>
            <w:r w:rsidR="00B42460" w:rsidRPr="009622FC">
              <w:rPr>
                <w:rFonts w:ascii="Garamond" w:hAnsi="Garamond"/>
              </w:rPr>
              <w:t xml:space="preserve"> Budget-Amended</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APBD-R</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rPr>
                <w:rFonts w:ascii="Garamond" w:hAnsi="Garamond"/>
              </w:rPr>
            </w:pPr>
            <w:r>
              <w:rPr>
                <w:rFonts w:ascii="Garamond" w:hAnsi="Garamond"/>
                <w:lang w:val="en-US"/>
              </w:rPr>
              <w:t>Local Government</w:t>
            </w:r>
            <w:r>
              <w:rPr>
                <w:rFonts w:ascii="Garamond" w:hAnsi="Garamond"/>
              </w:rPr>
              <w:t xml:space="preserve"> Budget-Reali</w:t>
            </w:r>
            <w:r>
              <w:rPr>
                <w:rFonts w:ascii="Garamond" w:hAnsi="Garamond"/>
                <w:lang w:val="en-US"/>
              </w:rPr>
              <w:t>s</w:t>
            </w:r>
            <w:r w:rsidR="00B42460" w:rsidRPr="009622FC">
              <w:rPr>
                <w:rFonts w:ascii="Garamond" w:hAnsi="Garamond"/>
              </w:rPr>
              <w:t>ed</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BPK</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rPr>
                <w:rFonts w:ascii="Garamond" w:hAnsi="Garamond"/>
              </w:rPr>
            </w:pPr>
            <w:r w:rsidRPr="009622FC">
              <w:rPr>
                <w:rFonts w:ascii="Garamond" w:hAnsi="Garamond"/>
              </w:rPr>
              <w:t>State Audit Agency</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BPS</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rPr>
                <w:rFonts w:ascii="Garamond" w:hAnsi="Garamond"/>
              </w:rPr>
            </w:pPr>
            <w:r w:rsidRPr="009622FC">
              <w:rPr>
                <w:rFonts w:ascii="Garamond" w:hAnsi="Garamond"/>
              </w:rPr>
              <w:t>Central Statistics Agency</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DAK</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rPr>
                <w:rFonts w:ascii="Garamond" w:hAnsi="Garamond"/>
              </w:rPr>
            </w:pPr>
            <w:r w:rsidRPr="009622FC">
              <w:rPr>
                <w:rFonts w:ascii="Garamond" w:hAnsi="Garamond"/>
              </w:rPr>
              <w:t>Special Allocation Fund</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DBH</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rPr>
                <w:rFonts w:ascii="Garamond" w:hAnsi="Garamond"/>
              </w:rPr>
            </w:pPr>
            <w:r w:rsidRPr="009622FC">
              <w:rPr>
                <w:rFonts w:ascii="Garamond" w:hAnsi="Garamond"/>
              </w:rPr>
              <w:t>Profit-Sharing Fund</w:t>
            </w:r>
          </w:p>
        </w:tc>
      </w:tr>
      <w:tr w:rsidR="00B42460" w:rsidRPr="009622FC">
        <w:trPr>
          <w:trHeight w:val="432"/>
        </w:trPr>
        <w:tc>
          <w:tcPr>
            <w:tcW w:w="2552" w:type="dxa"/>
            <w:shd w:val="clear" w:color="auto" w:fill="auto"/>
            <w:vAlign w:val="center"/>
          </w:tcPr>
          <w:p w:rsidR="00B42460" w:rsidRPr="009622FC" w:rsidRDefault="00B42460" w:rsidP="00B42460">
            <w:pPr>
              <w:rPr>
                <w:rFonts w:ascii="Garamond" w:hAnsi="Garamond"/>
              </w:rPr>
            </w:pPr>
            <w:r w:rsidRPr="009622FC">
              <w:rPr>
                <w:rFonts w:ascii="Garamond" w:hAnsi="Garamond"/>
              </w:rPr>
              <w:t>DAU</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rPr>
                <w:rFonts w:ascii="Garamond" w:hAnsi="Garamond"/>
              </w:rPr>
            </w:pPr>
            <w:r w:rsidRPr="009622FC">
              <w:rPr>
                <w:rFonts w:ascii="Garamond" w:hAnsi="Garamond"/>
              </w:rPr>
              <w:t>General Allocation Fund</w:t>
            </w:r>
          </w:p>
        </w:tc>
      </w:tr>
      <w:tr w:rsidR="00B42460" w:rsidRPr="009622FC">
        <w:tc>
          <w:tcPr>
            <w:tcW w:w="2552"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 xml:space="preserve">Daper </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rPr>
                <w:rFonts w:ascii="Garamond" w:hAnsi="Garamond"/>
                <w:lang w:val="en-US"/>
              </w:rPr>
            </w:pPr>
            <w:r w:rsidRPr="009622FC">
              <w:rPr>
                <w:rFonts w:ascii="Garamond" w:hAnsi="Garamond"/>
              </w:rPr>
              <w:t xml:space="preserve">Balanced Fund </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DJPK</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Directorate General of Fiscal Balance</w:t>
            </w:r>
          </w:p>
        </w:tc>
      </w:tr>
      <w:tr w:rsidR="00B42460" w:rsidRPr="009622FC">
        <w:tc>
          <w:tcPr>
            <w:tcW w:w="2552"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 xml:space="preserve">HD </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 xml:space="preserve">Village Forest </w:t>
            </w:r>
          </w:p>
        </w:tc>
      </w:tr>
      <w:tr w:rsidR="00B42460" w:rsidRPr="009622FC">
        <w:trPr>
          <w:trHeight w:val="576"/>
        </w:trPr>
        <w:tc>
          <w:tcPr>
            <w:tcW w:w="2552"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HKm</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 xml:space="preserve">Community Forest </w:t>
            </w:r>
          </w:p>
        </w:tc>
      </w:tr>
      <w:tr w:rsidR="00B42460" w:rsidRPr="009622FC">
        <w:tc>
          <w:tcPr>
            <w:tcW w:w="2552"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 xml:space="preserve">HTR </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lang w:val="en-US"/>
              </w:rPr>
            </w:pPr>
            <w:r w:rsidRPr="009622FC">
              <w:rPr>
                <w:rFonts w:ascii="Garamond" w:hAnsi="Garamond"/>
              </w:rPr>
              <w:t>Community Forest Plantation</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Ha</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Hectare</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IUP</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Mining Business Permit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IUPHHK-HA</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 xml:space="preserve">Forest Timber Product </w:t>
            </w:r>
            <w:r w:rsidR="005E5906">
              <w:rPr>
                <w:rFonts w:ascii="Garamond" w:hAnsi="Garamond"/>
              </w:rPr>
              <w:t>Utili</w:t>
            </w:r>
            <w:r w:rsidR="005E5906">
              <w:rPr>
                <w:rFonts w:ascii="Garamond" w:hAnsi="Garamond"/>
                <w:lang w:val="en-US"/>
              </w:rPr>
              <w:t>s</w:t>
            </w:r>
            <w:r w:rsidRPr="009622FC">
              <w:rPr>
                <w:rFonts w:ascii="Garamond" w:hAnsi="Garamond"/>
              </w:rPr>
              <w:t>ation Permit – Natural Forest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IUPHHK-HTI</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pStyle w:val="NoSpacing"/>
              <w:spacing w:line="276" w:lineRule="auto"/>
              <w:rPr>
                <w:rFonts w:ascii="Garamond" w:hAnsi="Garamond"/>
              </w:rPr>
            </w:pPr>
            <w:r>
              <w:rPr>
                <w:rFonts w:ascii="Garamond" w:hAnsi="Garamond"/>
              </w:rPr>
              <w:t>Forest Timber Product Utili</w:t>
            </w:r>
            <w:r>
              <w:rPr>
                <w:rFonts w:ascii="Garamond" w:hAnsi="Garamond"/>
                <w:lang w:val="en-US"/>
              </w:rPr>
              <w:t>s</w:t>
            </w:r>
            <w:r w:rsidR="00B42460" w:rsidRPr="009622FC">
              <w:rPr>
                <w:rFonts w:ascii="Garamond" w:hAnsi="Garamond"/>
              </w:rPr>
              <w:t>ation Permit – Industrial Plantation Forest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IUPHHK-RE</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pStyle w:val="NoSpacing"/>
              <w:spacing w:line="276" w:lineRule="auto"/>
              <w:rPr>
                <w:rFonts w:ascii="Garamond" w:hAnsi="Garamond"/>
              </w:rPr>
            </w:pPr>
            <w:r>
              <w:rPr>
                <w:rFonts w:ascii="Garamond" w:hAnsi="Garamond"/>
              </w:rPr>
              <w:t>Forest Timber Product Utili</w:t>
            </w:r>
            <w:r>
              <w:rPr>
                <w:rFonts w:ascii="Garamond" w:hAnsi="Garamond"/>
                <w:lang w:val="en-US"/>
              </w:rPr>
              <w:t>s</w:t>
            </w:r>
            <w:r w:rsidR="00B42460" w:rsidRPr="009622FC">
              <w:rPr>
                <w:rFonts w:ascii="Garamond" w:hAnsi="Garamond"/>
              </w:rPr>
              <w:t>ation Permit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JATAM</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Mining Advocacy Network</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KP</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5E5906" w:rsidP="00B42460">
            <w:pPr>
              <w:pStyle w:val="NoSpacing"/>
              <w:spacing w:line="276" w:lineRule="auto"/>
              <w:rPr>
                <w:rFonts w:ascii="Garamond" w:hAnsi="Garamond"/>
              </w:rPr>
            </w:pPr>
            <w:r>
              <w:rPr>
                <w:rFonts w:ascii="Garamond" w:hAnsi="Garamond"/>
              </w:rPr>
              <w:t>Mining Authori</w:t>
            </w:r>
            <w:r>
              <w:rPr>
                <w:rFonts w:ascii="Garamond" w:hAnsi="Garamond"/>
                <w:lang w:val="en-US"/>
              </w:rPr>
              <w:t>s</w:t>
            </w:r>
            <w:r w:rsidR="00B42460" w:rsidRPr="009622FC">
              <w:rPr>
                <w:rFonts w:ascii="Garamond" w:hAnsi="Garamond"/>
              </w:rPr>
              <w:t>ation</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LKPD</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Regional Government Financial Statement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LPDS</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72543F" w:rsidRDefault="00B42460" w:rsidP="0072543F">
            <w:pPr>
              <w:pStyle w:val="NoSpacing"/>
              <w:spacing w:line="276" w:lineRule="auto"/>
              <w:rPr>
                <w:rFonts w:ascii="Garamond" w:hAnsi="Garamond"/>
                <w:lang w:val="en-US"/>
              </w:rPr>
            </w:pPr>
            <w:r w:rsidRPr="009622FC">
              <w:rPr>
                <w:rFonts w:ascii="Garamond" w:hAnsi="Garamond"/>
              </w:rPr>
              <w:t>Other Revenue</w:t>
            </w:r>
          </w:p>
        </w:tc>
      </w:tr>
      <w:tr w:rsidR="00B42460" w:rsidRPr="009622FC">
        <w:tc>
          <w:tcPr>
            <w:tcW w:w="2552" w:type="dxa"/>
            <w:shd w:val="clear" w:color="auto" w:fill="auto"/>
            <w:vAlign w:val="center"/>
          </w:tcPr>
          <w:p w:rsidR="00B42460" w:rsidRPr="009622FC" w:rsidRDefault="00B42460" w:rsidP="00B42460">
            <w:pPr>
              <w:pStyle w:val="NoSpacing"/>
              <w:spacing w:line="276" w:lineRule="auto"/>
              <w:rPr>
                <w:rFonts w:ascii="Garamond" w:hAnsi="Garamond"/>
                <w:b/>
              </w:rPr>
            </w:pPr>
            <w:r w:rsidRPr="009622FC">
              <w:rPr>
                <w:rStyle w:val="Strong"/>
                <w:rFonts w:ascii="Garamond" w:hAnsi="Garamond"/>
                <w:b w:val="0"/>
              </w:rPr>
              <w:t>LULUCF</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i/>
              </w:rPr>
            </w:pPr>
            <w:r w:rsidRPr="009622FC">
              <w:rPr>
                <w:rStyle w:val="Emphasis"/>
                <w:rFonts w:ascii="Garamond" w:hAnsi="Garamond"/>
                <w:bCs/>
                <w:i w:val="0"/>
              </w:rPr>
              <w:t>Land Use, Land-Use Change and Forestry</w:t>
            </w:r>
            <w:r w:rsidRPr="009622FC">
              <w:rPr>
                <w:rStyle w:val="apple-converted-space"/>
                <w:rFonts w:ascii="Garamond" w:hAnsi="Garamond"/>
                <w:bCs/>
                <w:i/>
                <w:iCs/>
              </w:rPr>
              <w:t> </w:t>
            </w:r>
          </w:p>
        </w:tc>
      </w:tr>
      <w:tr w:rsidR="00B42460" w:rsidRPr="009622FC">
        <w:trPr>
          <w:trHeight w:val="432"/>
        </w:trPr>
        <w:tc>
          <w:tcPr>
            <w:tcW w:w="2552" w:type="dxa"/>
            <w:shd w:val="clear" w:color="auto" w:fill="auto"/>
            <w:vAlign w:val="center"/>
          </w:tcPr>
          <w:p w:rsidR="00B42460" w:rsidRPr="009622FC" w:rsidRDefault="00B0151A" w:rsidP="00B42460">
            <w:pPr>
              <w:pStyle w:val="NoSpacing"/>
              <w:spacing w:line="276" w:lineRule="auto"/>
              <w:rPr>
                <w:rFonts w:ascii="Garamond" w:hAnsi="Garamond"/>
              </w:rPr>
            </w:pPr>
            <w:r>
              <w:rPr>
                <w:rFonts w:ascii="Garamond" w:hAnsi="Garamond"/>
                <w:lang w:val="en-US"/>
              </w:rPr>
              <w:t>M</w:t>
            </w:r>
            <w:r w:rsidR="00B42460" w:rsidRPr="009622FC">
              <w:rPr>
                <w:rFonts w:ascii="Garamond" w:hAnsi="Garamond"/>
              </w:rPr>
              <w:t>igas</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 xml:space="preserve">Oil and Gas </w:t>
            </w:r>
          </w:p>
        </w:tc>
      </w:tr>
      <w:tr w:rsidR="00B42460" w:rsidRPr="009622FC">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MP3EI</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Master Plan for the Acceleration and Expansion of Indonesia’s Economic Development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PAD</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72543F" w:rsidP="00B42460">
            <w:pPr>
              <w:pStyle w:val="NoSpacing"/>
              <w:spacing w:line="276" w:lineRule="auto"/>
              <w:rPr>
                <w:rFonts w:ascii="Garamond" w:hAnsi="Garamond"/>
              </w:rPr>
            </w:pPr>
            <w:r>
              <w:rPr>
                <w:rFonts w:ascii="Garamond" w:hAnsi="Garamond"/>
              </w:rPr>
              <w:t>Regionally</w:t>
            </w:r>
            <w:r>
              <w:rPr>
                <w:rFonts w:ascii="Garamond" w:hAnsi="Garamond"/>
                <w:lang w:val="en-US"/>
              </w:rPr>
              <w:t>-</w:t>
            </w:r>
            <w:r w:rsidR="00B42460" w:rsidRPr="009622FC">
              <w:rPr>
                <w:rFonts w:ascii="Garamond" w:hAnsi="Garamond"/>
              </w:rPr>
              <w:t>Generated Revenue</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lastRenderedPageBreak/>
              <w:t>PDRB</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Gross Regional Domestic Product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PKP2B</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Coal Mining Business Work Agreement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RKPD</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72543F" w:rsidRDefault="00B42460" w:rsidP="0072543F">
            <w:pPr>
              <w:pStyle w:val="NoSpacing"/>
              <w:spacing w:line="276" w:lineRule="auto"/>
              <w:rPr>
                <w:rFonts w:ascii="Garamond" w:hAnsi="Garamond"/>
                <w:lang w:val="en-US"/>
              </w:rPr>
            </w:pPr>
            <w:r w:rsidRPr="009622FC">
              <w:rPr>
                <w:rFonts w:ascii="Garamond" w:hAnsi="Garamond"/>
              </w:rPr>
              <w:t>Regional Government Work Plan</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RPJMD</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72543F" w:rsidP="00B42460">
            <w:pPr>
              <w:pStyle w:val="NoSpacing"/>
              <w:spacing w:line="276" w:lineRule="auto"/>
              <w:rPr>
                <w:rFonts w:ascii="Garamond" w:hAnsi="Garamond"/>
              </w:rPr>
            </w:pPr>
            <w:r>
              <w:rPr>
                <w:rFonts w:ascii="Garamond" w:hAnsi="Garamond"/>
              </w:rPr>
              <w:t>Regional M</w:t>
            </w:r>
            <w:r>
              <w:rPr>
                <w:rFonts w:ascii="Garamond" w:hAnsi="Garamond"/>
                <w:lang w:val="en-US"/>
              </w:rPr>
              <w:t>id</w:t>
            </w:r>
            <w:r w:rsidR="00B42460" w:rsidRPr="009622FC">
              <w:rPr>
                <w:rFonts w:ascii="Garamond" w:hAnsi="Garamond"/>
              </w:rPr>
              <w:t>-Term Development Plan</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RTRW</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Regional Spatial Plan</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RTRWP</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Provincial Spatial Plan</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TKHL</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Land and Forest Governance</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SDA</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Natural Resources</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SiKPA</w:t>
            </w:r>
          </w:p>
        </w:tc>
        <w:tc>
          <w:tcPr>
            <w:tcW w:w="328" w:type="dxa"/>
            <w:shd w:val="clear" w:color="auto" w:fill="auto"/>
            <w:vAlign w:val="center"/>
          </w:tcPr>
          <w:p w:rsidR="00B42460" w:rsidRPr="009622FC" w:rsidRDefault="00B42460" w:rsidP="00B42460">
            <w:pPr>
              <w:jc w:val="center"/>
              <w:rPr>
                <w:rFonts w:ascii="Garamond" w:hAnsi="Garamond"/>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Budget Deficit</w:t>
            </w:r>
          </w:p>
        </w:tc>
      </w:tr>
      <w:tr w:rsidR="00B42460" w:rsidRPr="009622FC">
        <w:trPr>
          <w:trHeight w:val="432"/>
        </w:trPr>
        <w:tc>
          <w:tcPr>
            <w:tcW w:w="2552"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SiLPA</w:t>
            </w:r>
          </w:p>
        </w:tc>
        <w:tc>
          <w:tcPr>
            <w:tcW w:w="328" w:type="dxa"/>
            <w:shd w:val="clear" w:color="auto" w:fill="auto"/>
            <w:vAlign w:val="center"/>
          </w:tcPr>
          <w:p w:rsidR="00B42460" w:rsidRPr="009622FC" w:rsidRDefault="00B42460" w:rsidP="00B42460">
            <w:pPr>
              <w:pStyle w:val="NoSpacing"/>
              <w:spacing w:line="276" w:lineRule="auto"/>
              <w:jc w:val="center"/>
              <w:rPr>
                <w:rFonts w:ascii="Garamond" w:hAnsi="Garamond"/>
                <w:lang w:val="en-US"/>
              </w:rPr>
            </w:pPr>
            <w:r w:rsidRPr="009622FC">
              <w:rPr>
                <w:rFonts w:ascii="Garamond" w:hAnsi="Garamond"/>
              </w:rPr>
              <w:t>:</w:t>
            </w:r>
          </w:p>
        </w:tc>
        <w:tc>
          <w:tcPr>
            <w:tcW w:w="6804" w:type="dxa"/>
            <w:shd w:val="clear" w:color="auto" w:fill="auto"/>
            <w:vAlign w:val="center"/>
          </w:tcPr>
          <w:p w:rsidR="00B42460" w:rsidRPr="009622FC" w:rsidRDefault="00B42460" w:rsidP="00B42460">
            <w:pPr>
              <w:pStyle w:val="NoSpacing"/>
              <w:spacing w:line="276" w:lineRule="auto"/>
              <w:rPr>
                <w:rFonts w:ascii="Garamond" w:hAnsi="Garamond"/>
              </w:rPr>
            </w:pPr>
            <w:r w:rsidRPr="009622FC">
              <w:rPr>
                <w:rFonts w:ascii="Garamond" w:hAnsi="Garamond"/>
              </w:rPr>
              <w:t>Budget Surplus</w:t>
            </w:r>
          </w:p>
        </w:tc>
      </w:tr>
    </w:tbl>
    <w:p w:rsidR="00B42460" w:rsidRPr="009622FC" w:rsidRDefault="00B42460" w:rsidP="00B42460">
      <w:pPr>
        <w:spacing w:before="240"/>
        <w:ind w:left="1985" w:hanging="1985"/>
        <w:jc w:val="both"/>
        <w:rPr>
          <w:rFonts w:ascii="Garamond" w:hAnsi="Garamond" w:cs="Calibri"/>
          <w:lang w:val="en-US"/>
        </w:rPr>
      </w:pPr>
    </w:p>
    <w:p w:rsidR="00B42460" w:rsidRPr="009622FC" w:rsidRDefault="00B42460" w:rsidP="00B42460">
      <w:pPr>
        <w:spacing w:after="0"/>
        <w:rPr>
          <w:rFonts w:ascii="Garamond" w:hAnsi="Garamond"/>
        </w:rPr>
      </w:pPr>
      <w:r w:rsidRPr="009622FC">
        <w:rPr>
          <w:rFonts w:ascii="Garamond" w:hAnsi="Garamond"/>
        </w:rPr>
        <w:br w:type="page"/>
      </w:r>
    </w:p>
    <w:p w:rsidR="00B42460" w:rsidRPr="009622FC" w:rsidRDefault="00B42460" w:rsidP="00B42460">
      <w:pPr>
        <w:pStyle w:val="Heading2"/>
        <w:rPr>
          <w:rFonts w:ascii="Garamond" w:hAnsi="Garamond"/>
          <w:color w:val="auto"/>
          <w:sz w:val="36"/>
          <w:lang w:val="en-US"/>
        </w:rPr>
      </w:pPr>
      <w:r w:rsidRPr="009622FC">
        <w:rPr>
          <w:rFonts w:ascii="Garamond" w:hAnsi="Garamond"/>
          <w:color w:val="auto"/>
          <w:sz w:val="36"/>
        </w:rPr>
        <w:lastRenderedPageBreak/>
        <w:t xml:space="preserve">Table of Contents </w:t>
      </w:r>
    </w:p>
    <w:p w:rsidR="00B42460" w:rsidRPr="009622FC" w:rsidRDefault="00B42460" w:rsidP="00B42460">
      <w:pPr>
        <w:rPr>
          <w:rFonts w:ascii="Garamond" w:hAnsi="Garamond"/>
          <w:lang w:val="en-US"/>
        </w:rPr>
      </w:pPr>
    </w:p>
    <w:tbl>
      <w:tblPr>
        <w:tblW w:w="9582" w:type="dxa"/>
        <w:tblLook w:val="04A0"/>
      </w:tblPr>
      <w:tblGrid>
        <w:gridCol w:w="1098"/>
        <w:gridCol w:w="342"/>
        <w:gridCol w:w="7493"/>
        <w:gridCol w:w="649"/>
      </w:tblGrid>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p>
        </w:tc>
        <w:tc>
          <w:tcPr>
            <w:tcW w:w="649" w:type="dxa"/>
            <w:shd w:val="clear" w:color="auto" w:fill="auto"/>
          </w:tcPr>
          <w:p w:rsidR="00B42460" w:rsidRPr="009622FC" w:rsidRDefault="00B42460" w:rsidP="00B42460">
            <w:pPr>
              <w:pStyle w:val="NoSpacing"/>
              <w:rPr>
                <w:rFonts w:ascii="Garamond" w:hAnsi="Garamond"/>
              </w:rPr>
            </w:pPr>
            <w:r w:rsidRPr="009622FC">
              <w:rPr>
                <w:rFonts w:ascii="Garamond" w:hAnsi="Garamond"/>
              </w:rPr>
              <w:t>Page</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b/>
              </w:rPr>
            </w:pPr>
            <w:r w:rsidRPr="009622FC">
              <w:rPr>
                <w:rFonts w:ascii="Garamond" w:hAnsi="Garamond"/>
                <w:b/>
              </w:rPr>
              <w:t>GLOSSARY</w:t>
            </w:r>
          </w:p>
        </w:tc>
        <w:tc>
          <w:tcPr>
            <w:tcW w:w="649" w:type="dxa"/>
            <w:shd w:val="clear" w:color="auto" w:fill="auto"/>
          </w:tcPr>
          <w:p w:rsidR="00B42460" w:rsidRPr="009622FC" w:rsidRDefault="00D23963" w:rsidP="00B42460">
            <w:pPr>
              <w:pStyle w:val="NoSpacing"/>
              <w:rPr>
                <w:rFonts w:ascii="Garamond" w:hAnsi="Garamond"/>
              </w:rPr>
            </w:pPr>
            <w:r w:rsidRPr="009622FC">
              <w:rPr>
                <w:rFonts w:ascii="Garamond" w:hAnsi="Garamond"/>
              </w:rPr>
              <w:t>i</w:t>
            </w:r>
            <w:r w:rsidR="00B42460" w:rsidRPr="009622FC">
              <w:rPr>
                <w:rFonts w:ascii="Garamond" w:hAnsi="Garamond"/>
              </w:rPr>
              <w:t>v</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b/>
              </w:rPr>
            </w:pPr>
            <w:r w:rsidRPr="009622FC">
              <w:rPr>
                <w:rFonts w:ascii="Garamond" w:hAnsi="Garamond"/>
                <w:b/>
              </w:rPr>
              <w:t>PREFACE</w:t>
            </w:r>
          </w:p>
        </w:tc>
        <w:tc>
          <w:tcPr>
            <w:tcW w:w="649" w:type="dxa"/>
            <w:shd w:val="clear" w:color="auto" w:fill="auto"/>
          </w:tcPr>
          <w:p w:rsidR="00B42460" w:rsidRPr="009622FC" w:rsidRDefault="00D23963" w:rsidP="00B42460">
            <w:pPr>
              <w:pStyle w:val="NoSpacing"/>
              <w:rPr>
                <w:rFonts w:ascii="Garamond" w:hAnsi="Garamond"/>
              </w:rPr>
            </w:pPr>
            <w:r w:rsidRPr="009622FC">
              <w:rPr>
                <w:rFonts w:ascii="Garamond" w:hAnsi="Garamond"/>
              </w:rPr>
              <w:t>vii</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b/>
              </w:rPr>
            </w:pPr>
            <w:r w:rsidRPr="009622FC">
              <w:rPr>
                <w:rFonts w:ascii="Garamond" w:hAnsi="Garamond"/>
                <w:b/>
              </w:rPr>
              <w:t>ACKNOWLEDGMENTS</w:t>
            </w:r>
          </w:p>
        </w:tc>
        <w:tc>
          <w:tcPr>
            <w:tcW w:w="649" w:type="dxa"/>
            <w:shd w:val="clear" w:color="auto" w:fill="auto"/>
          </w:tcPr>
          <w:p w:rsidR="00B42460" w:rsidRPr="009622FC" w:rsidRDefault="00D23963" w:rsidP="00B42460">
            <w:pPr>
              <w:pStyle w:val="NoSpacing"/>
              <w:rPr>
                <w:rFonts w:ascii="Garamond" w:hAnsi="Garamond"/>
              </w:rPr>
            </w:pPr>
            <w:r w:rsidRPr="009622FC">
              <w:rPr>
                <w:rFonts w:ascii="Garamond" w:hAnsi="Garamond"/>
              </w:rPr>
              <w:t>x</w:t>
            </w:r>
          </w:p>
        </w:tc>
      </w:tr>
      <w:tr w:rsidR="00B42460" w:rsidRPr="009622FC" w:rsidTr="00434FD2">
        <w:tc>
          <w:tcPr>
            <w:tcW w:w="1440" w:type="dxa"/>
            <w:gridSpan w:val="2"/>
            <w:shd w:val="clear" w:color="auto" w:fill="auto"/>
          </w:tcPr>
          <w:p w:rsidR="00B42460" w:rsidRPr="009622FC" w:rsidRDefault="00B42460" w:rsidP="00B42460">
            <w:pPr>
              <w:pStyle w:val="NoSpacing"/>
              <w:rPr>
                <w:rFonts w:ascii="Garamond" w:hAnsi="Garamond"/>
                <w:b/>
              </w:rPr>
            </w:pPr>
            <w:r w:rsidRPr="009622FC">
              <w:rPr>
                <w:rFonts w:ascii="Garamond" w:hAnsi="Garamond"/>
                <w:b/>
              </w:rPr>
              <w:t>PART I</w:t>
            </w:r>
          </w:p>
        </w:tc>
        <w:tc>
          <w:tcPr>
            <w:tcW w:w="7493" w:type="dxa"/>
            <w:shd w:val="clear" w:color="auto" w:fill="auto"/>
          </w:tcPr>
          <w:p w:rsidR="00B42460" w:rsidRPr="009622FC" w:rsidRDefault="00B42460" w:rsidP="00B42460">
            <w:pPr>
              <w:pStyle w:val="NoSpacing"/>
              <w:rPr>
                <w:rFonts w:ascii="Garamond" w:hAnsi="Garamond"/>
                <w:b/>
              </w:rPr>
            </w:pPr>
            <w:r w:rsidRPr="009622FC">
              <w:rPr>
                <w:rFonts w:ascii="Garamond" w:hAnsi="Garamond"/>
                <w:b/>
              </w:rPr>
              <w:t>BUILDING AN ANALYTICAL FRAMEWORK FOR REGIONAL BUDGET POLICIES ON LAND AND FOREST GOVERNANCE IN INDONESIA</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1</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1.1 Introduction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1</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1.2 Research Framework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3</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1.3 Research Methodology..............................................................................................................</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4</w:t>
            </w:r>
          </w:p>
        </w:tc>
      </w:tr>
      <w:tr w:rsidR="00B42460" w:rsidRPr="009622FC" w:rsidTr="00434FD2">
        <w:tc>
          <w:tcPr>
            <w:tcW w:w="1440" w:type="dxa"/>
            <w:gridSpan w:val="2"/>
            <w:shd w:val="clear" w:color="auto" w:fill="auto"/>
          </w:tcPr>
          <w:p w:rsidR="00B42460" w:rsidRPr="009622FC" w:rsidRDefault="00B42460" w:rsidP="00B42460">
            <w:pPr>
              <w:pStyle w:val="NoSpacing"/>
              <w:rPr>
                <w:rFonts w:ascii="Garamond" w:hAnsi="Garamond"/>
                <w:b/>
              </w:rPr>
            </w:pPr>
            <w:r w:rsidRPr="009622FC">
              <w:rPr>
                <w:rFonts w:ascii="Garamond" w:hAnsi="Garamond"/>
                <w:b/>
              </w:rPr>
              <w:t xml:space="preserve">PART II </w:t>
            </w:r>
          </w:p>
        </w:tc>
        <w:tc>
          <w:tcPr>
            <w:tcW w:w="7493" w:type="dxa"/>
            <w:shd w:val="clear" w:color="auto" w:fill="auto"/>
          </w:tcPr>
          <w:p w:rsidR="00B42460" w:rsidRPr="009622FC" w:rsidRDefault="00B42460" w:rsidP="00B42460">
            <w:pPr>
              <w:pStyle w:val="NoSpacing"/>
              <w:rPr>
                <w:rFonts w:ascii="Garamond" w:hAnsi="Garamond"/>
                <w:b/>
              </w:rPr>
            </w:pPr>
            <w:r w:rsidRPr="009622FC">
              <w:rPr>
                <w:rFonts w:ascii="Garamond" w:hAnsi="Garamond"/>
                <w:b/>
              </w:rPr>
              <w:t>EXAMINING REGIONAL PLANNING POLICIES ON LAND AND FOREST GOVERNANCE IN INDONESIA</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8</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2.1 Regional Authority Over Land and Forest Governance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8</w:t>
            </w:r>
          </w:p>
        </w:tc>
      </w:tr>
      <w:tr w:rsidR="00B42460" w:rsidRPr="009622FC" w:rsidTr="00434FD2">
        <w:tc>
          <w:tcPr>
            <w:tcW w:w="8933" w:type="dxa"/>
            <w:gridSpan w:val="3"/>
            <w:shd w:val="clear" w:color="auto" w:fill="auto"/>
          </w:tcPr>
          <w:p w:rsidR="00B42460" w:rsidRPr="009622FC" w:rsidRDefault="00B42460" w:rsidP="00920C81">
            <w:pPr>
              <w:pStyle w:val="NoSpacing"/>
              <w:rPr>
                <w:rFonts w:ascii="Garamond" w:hAnsi="Garamond"/>
              </w:rPr>
            </w:pPr>
            <w:r w:rsidRPr="009622FC">
              <w:rPr>
                <w:rFonts w:ascii="Garamond" w:hAnsi="Garamond"/>
              </w:rPr>
              <w:t>2.2 Natural Resource-Based Regional Economic Structure .........................................................</w:t>
            </w:r>
          </w:p>
        </w:tc>
        <w:tc>
          <w:tcPr>
            <w:tcW w:w="649" w:type="dxa"/>
            <w:shd w:val="clear" w:color="auto" w:fill="auto"/>
          </w:tcPr>
          <w:p w:rsidR="00B42460" w:rsidRPr="009622FC" w:rsidRDefault="00BF269F" w:rsidP="00B42460">
            <w:pPr>
              <w:pStyle w:val="NoSpacing"/>
              <w:rPr>
                <w:rFonts w:ascii="Garamond" w:hAnsi="Garamond"/>
                <w:lang w:val="en-US"/>
              </w:rPr>
            </w:pPr>
            <w:r w:rsidRPr="009622FC">
              <w:rPr>
                <w:rFonts w:ascii="Garamond" w:hAnsi="Garamond"/>
              </w:rPr>
              <w:t>11</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2.3 Exploitative Planning Policies in the Absence of an Adequate Recovery Program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16</w:t>
            </w:r>
          </w:p>
        </w:tc>
      </w:tr>
      <w:tr w:rsidR="00B42460" w:rsidRPr="009622FC" w:rsidTr="00434FD2">
        <w:tc>
          <w:tcPr>
            <w:tcW w:w="1440" w:type="dxa"/>
            <w:gridSpan w:val="2"/>
            <w:shd w:val="clear" w:color="auto" w:fill="auto"/>
          </w:tcPr>
          <w:p w:rsidR="00B42460" w:rsidRPr="00B0151A" w:rsidRDefault="00B42460" w:rsidP="00B42460">
            <w:pPr>
              <w:pStyle w:val="NoSpacing"/>
              <w:rPr>
                <w:rFonts w:ascii="Garamond" w:hAnsi="Garamond"/>
                <w:b/>
                <w:lang w:val="en-US"/>
              </w:rPr>
            </w:pPr>
            <w:r w:rsidRPr="009622FC">
              <w:rPr>
                <w:rFonts w:ascii="Garamond" w:hAnsi="Garamond"/>
                <w:b/>
                <w:lang w:val="en-US"/>
              </w:rPr>
              <w:t>PART</w:t>
            </w:r>
            <w:r w:rsidRPr="009622FC">
              <w:rPr>
                <w:rFonts w:ascii="Garamond" w:hAnsi="Garamond"/>
                <w:b/>
              </w:rPr>
              <w:t xml:space="preserve"> III</w:t>
            </w:r>
          </w:p>
        </w:tc>
        <w:tc>
          <w:tcPr>
            <w:tcW w:w="7493" w:type="dxa"/>
            <w:shd w:val="clear" w:color="auto" w:fill="auto"/>
          </w:tcPr>
          <w:p w:rsidR="00B42460" w:rsidRPr="009622FC" w:rsidRDefault="00B42460" w:rsidP="00B42460">
            <w:pPr>
              <w:pStyle w:val="NoSpacing"/>
              <w:rPr>
                <w:rFonts w:ascii="Garamond" w:hAnsi="Garamond"/>
                <w:b/>
              </w:rPr>
            </w:pPr>
            <w:r w:rsidRPr="009622FC">
              <w:rPr>
                <w:rFonts w:ascii="Garamond" w:hAnsi="Garamond"/>
                <w:b/>
              </w:rPr>
              <w:t xml:space="preserve">REVIEWING REGIONAL BUDGETS: MEASURING REGIONAL GOVERNMENT COMMITMENT AND PARTIALITY TOWARD LAND AND FOREST GOVERNANCE </w:t>
            </w:r>
          </w:p>
        </w:tc>
        <w:tc>
          <w:tcPr>
            <w:tcW w:w="64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BF269F" w:rsidRPr="009622FC">
              <w:rPr>
                <w:rFonts w:ascii="Garamond" w:hAnsi="Garamond"/>
              </w:rPr>
              <w:t>0</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3.1 Overview of Regional Revenue .................................................................................................</w:t>
            </w:r>
          </w:p>
        </w:tc>
        <w:tc>
          <w:tcPr>
            <w:tcW w:w="64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BF269F" w:rsidRPr="009622FC">
              <w:rPr>
                <w:rFonts w:ascii="Garamond" w:hAnsi="Garamond"/>
              </w:rPr>
              <w:t>0</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3.2 Mark</w:t>
            </w:r>
            <w:r w:rsidR="00920C81" w:rsidRPr="009622FC">
              <w:rPr>
                <w:rFonts w:ascii="Garamond" w:hAnsi="Garamond"/>
              </w:rPr>
              <w:t>d</w:t>
            </w:r>
            <w:r w:rsidRPr="009622FC">
              <w:rPr>
                <w:rFonts w:ascii="Garamond" w:hAnsi="Garamond"/>
              </w:rPr>
              <w:t>ow</w:t>
            </w:r>
            <w:r w:rsidR="00933EED">
              <w:rPr>
                <w:rFonts w:ascii="Garamond" w:hAnsi="Garamond"/>
              </w:rPr>
              <w:t>n Symptoms and Revenue Politici</w:t>
            </w:r>
            <w:r w:rsidR="00933EED">
              <w:rPr>
                <w:rFonts w:ascii="Garamond" w:hAnsi="Garamond"/>
                <w:lang w:val="en-US"/>
              </w:rPr>
              <w:t>s</w:t>
            </w:r>
            <w:r w:rsidRPr="009622FC">
              <w:rPr>
                <w:rFonts w:ascii="Garamond" w:hAnsi="Garamond"/>
              </w:rPr>
              <w:t>ation ..................................................................</w:t>
            </w:r>
          </w:p>
        </w:tc>
        <w:tc>
          <w:tcPr>
            <w:tcW w:w="649" w:type="dxa"/>
            <w:shd w:val="clear" w:color="auto" w:fill="auto"/>
          </w:tcPr>
          <w:p w:rsidR="00B42460" w:rsidRPr="009622FC" w:rsidRDefault="00B42460" w:rsidP="00920C81">
            <w:pPr>
              <w:pStyle w:val="NoSpacing"/>
              <w:rPr>
                <w:rFonts w:ascii="Garamond" w:hAnsi="Garamond"/>
                <w:lang w:val="en-US"/>
              </w:rPr>
            </w:pPr>
            <w:r w:rsidRPr="009622FC">
              <w:rPr>
                <w:rFonts w:ascii="Garamond" w:hAnsi="Garamond"/>
              </w:rPr>
              <w:t>2</w:t>
            </w:r>
            <w:r w:rsidR="00BF269F" w:rsidRPr="009622FC">
              <w:rPr>
                <w:rFonts w:ascii="Garamond" w:hAnsi="Garamond"/>
              </w:rPr>
              <w:t>6</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3.3 Overview of Regional Spending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lang w:val="en-US"/>
              </w:rPr>
              <w:t>31</w:t>
            </w:r>
          </w:p>
        </w:tc>
      </w:tr>
      <w:tr w:rsidR="00B42460" w:rsidRPr="009622FC" w:rsidTr="00434FD2">
        <w:tc>
          <w:tcPr>
            <w:tcW w:w="8933" w:type="dxa"/>
            <w:gridSpan w:val="3"/>
            <w:shd w:val="clear" w:color="auto" w:fill="auto"/>
          </w:tcPr>
          <w:p w:rsidR="00B42460" w:rsidRPr="009622FC" w:rsidRDefault="00B42460" w:rsidP="00920C81">
            <w:pPr>
              <w:pStyle w:val="NoSpacing"/>
              <w:rPr>
                <w:rFonts w:ascii="Garamond" w:hAnsi="Garamond"/>
              </w:rPr>
            </w:pPr>
            <w:r w:rsidRPr="009622FC">
              <w:rPr>
                <w:rFonts w:ascii="Garamond" w:hAnsi="Garamond"/>
              </w:rPr>
              <w:t xml:space="preserve">3.4 </w:t>
            </w:r>
            <w:r w:rsidR="00920C81" w:rsidRPr="009622FC">
              <w:rPr>
                <w:rFonts w:ascii="Garamond" w:hAnsi="Garamond"/>
              </w:rPr>
              <w:t>Low Budget Commitment for Land and Forest Governance..</w:t>
            </w:r>
            <w:r w:rsidRPr="009622FC">
              <w:rPr>
                <w:rFonts w:ascii="Garamond" w:hAnsi="Garamond"/>
              </w:rPr>
              <w:t xml:space="preserve">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35</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3.5 Regional Financing and Fiscal Space .........................................................................................</w:t>
            </w:r>
          </w:p>
        </w:tc>
        <w:tc>
          <w:tcPr>
            <w:tcW w:w="649" w:type="dxa"/>
            <w:shd w:val="clear" w:color="auto" w:fill="auto"/>
          </w:tcPr>
          <w:p w:rsidR="00B42460" w:rsidRPr="009622FC" w:rsidRDefault="00BF269F" w:rsidP="00920C81">
            <w:pPr>
              <w:pStyle w:val="NoSpacing"/>
              <w:rPr>
                <w:rFonts w:ascii="Garamond" w:hAnsi="Garamond"/>
                <w:lang w:val="en-US"/>
              </w:rPr>
            </w:pPr>
            <w:r w:rsidRPr="009622FC">
              <w:rPr>
                <w:rFonts w:ascii="Garamond" w:hAnsi="Garamond"/>
              </w:rPr>
              <w:t>44</w:t>
            </w:r>
          </w:p>
        </w:tc>
      </w:tr>
      <w:tr w:rsidR="00B42460" w:rsidRPr="009622FC" w:rsidTr="00434FD2">
        <w:tc>
          <w:tcPr>
            <w:tcW w:w="1098" w:type="dxa"/>
            <w:shd w:val="clear" w:color="auto" w:fill="auto"/>
          </w:tcPr>
          <w:p w:rsidR="00B42460" w:rsidRPr="009622FC" w:rsidRDefault="00B42460" w:rsidP="00B0151A">
            <w:pPr>
              <w:pStyle w:val="NoSpacing"/>
              <w:ind w:right="-157"/>
              <w:rPr>
                <w:rFonts w:ascii="Garamond" w:hAnsi="Garamond"/>
                <w:b/>
              </w:rPr>
            </w:pPr>
            <w:r w:rsidRPr="009622FC">
              <w:rPr>
                <w:rFonts w:ascii="Garamond" w:hAnsi="Garamond"/>
                <w:b/>
                <w:lang w:val="en-US"/>
              </w:rPr>
              <w:t xml:space="preserve">PART </w:t>
            </w:r>
            <w:r w:rsidRPr="009622FC">
              <w:rPr>
                <w:rFonts w:ascii="Garamond" w:hAnsi="Garamond"/>
                <w:b/>
              </w:rPr>
              <w:t>IV</w:t>
            </w:r>
          </w:p>
        </w:tc>
        <w:tc>
          <w:tcPr>
            <w:tcW w:w="7835" w:type="dxa"/>
            <w:gridSpan w:val="2"/>
            <w:shd w:val="clear" w:color="auto" w:fill="auto"/>
          </w:tcPr>
          <w:p w:rsidR="00B42460" w:rsidRPr="009622FC" w:rsidRDefault="00B42460" w:rsidP="00B42460">
            <w:pPr>
              <w:pStyle w:val="NoSpacing"/>
              <w:rPr>
                <w:rFonts w:ascii="Garamond" w:hAnsi="Garamond"/>
                <w:b/>
              </w:rPr>
            </w:pPr>
            <w:r w:rsidRPr="009622FC">
              <w:rPr>
                <w:rFonts w:ascii="Garamond" w:hAnsi="Garamond"/>
                <w:b/>
                <w:lang w:val="en-US"/>
              </w:rPr>
              <w:t xml:space="preserve">  </w:t>
            </w:r>
            <w:r w:rsidR="0072543F">
              <w:rPr>
                <w:rFonts w:ascii="Garamond" w:hAnsi="Garamond"/>
                <w:b/>
                <w:lang w:val="en-US"/>
              </w:rPr>
              <w:t xml:space="preserve">     </w:t>
            </w:r>
            <w:r w:rsidRPr="009622FC">
              <w:rPr>
                <w:rFonts w:ascii="Garamond" w:hAnsi="Garamond"/>
                <w:b/>
              </w:rPr>
              <w:t xml:space="preserve">CONCLUSION AND RECOMMENDATIONS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50</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4.1 Conclusion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50</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4.2 Recommendations ....................................................................................................................</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51</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Bibliography ....................................................................................................................................</w:t>
            </w:r>
          </w:p>
        </w:tc>
        <w:tc>
          <w:tcPr>
            <w:tcW w:w="649" w:type="dxa"/>
            <w:shd w:val="clear" w:color="auto" w:fill="auto"/>
          </w:tcPr>
          <w:p w:rsidR="00B42460" w:rsidRPr="009622FC" w:rsidRDefault="00B42460" w:rsidP="00920C81">
            <w:pPr>
              <w:pStyle w:val="NoSpacing"/>
              <w:rPr>
                <w:rFonts w:ascii="Garamond" w:hAnsi="Garamond"/>
              </w:rPr>
            </w:pPr>
            <w:r w:rsidRPr="009622FC">
              <w:rPr>
                <w:rFonts w:ascii="Garamond" w:hAnsi="Garamond"/>
              </w:rPr>
              <w:t>5</w:t>
            </w:r>
            <w:r w:rsidR="00BF269F" w:rsidRPr="009622FC">
              <w:rPr>
                <w:rFonts w:ascii="Garamond" w:hAnsi="Garamond"/>
              </w:rPr>
              <w:t>4</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Appendix 1 .....................................................................................................................................</w:t>
            </w:r>
          </w:p>
        </w:tc>
        <w:tc>
          <w:tcPr>
            <w:tcW w:w="649" w:type="dxa"/>
            <w:shd w:val="clear" w:color="auto" w:fill="auto"/>
          </w:tcPr>
          <w:p w:rsidR="00B42460" w:rsidRPr="009622FC" w:rsidRDefault="00B42460" w:rsidP="00920C81">
            <w:pPr>
              <w:pStyle w:val="NoSpacing"/>
              <w:rPr>
                <w:rFonts w:ascii="Garamond" w:hAnsi="Garamond"/>
              </w:rPr>
            </w:pPr>
            <w:r w:rsidRPr="009622FC">
              <w:rPr>
                <w:rFonts w:ascii="Garamond" w:hAnsi="Garamond"/>
              </w:rPr>
              <w:t>5</w:t>
            </w:r>
            <w:r w:rsidR="00BF269F" w:rsidRPr="009622FC">
              <w:rPr>
                <w:rFonts w:ascii="Garamond" w:hAnsi="Garamond"/>
              </w:rPr>
              <w:t>7</w:t>
            </w:r>
          </w:p>
        </w:tc>
      </w:tr>
      <w:tr w:rsidR="00B42460" w:rsidRPr="009622FC" w:rsidTr="00434FD2">
        <w:tc>
          <w:tcPr>
            <w:tcW w:w="8933" w:type="dxa"/>
            <w:gridSpan w:val="3"/>
            <w:shd w:val="clear" w:color="auto" w:fill="auto"/>
          </w:tcPr>
          <w:p w:rsidR="00B42460" w:rsidRPr="009622FC" w:rsidRDefault="00B42460" w:rsidP="00B42460">
            <w:pPr>
              <w:pStyle w:val="NoSpacing"/>
              <w:rPr>
                <w:rFonts w:ascii="Garamond" w:hAnsi="Garamond"/>
              </w:rPr>
            </w:pPr>
            <w:r w:rsidRPr="009622FC">
              <w:rPr>
                <w:rFonts w:ascii="Garamond" w:hAnsi="Garamond"/>
              </w:rPr>
              <w:t>Appendix 2.......................................................................................................................................</w:t>
            </w:r>
          </w:p>
        </w:tc>
        <w:tc>
          <w:tcPr>
            <w:tcW w:w="649" w:type="dxa"/>
            <w:shd w:val="clear" w:color="auto" w:fill="auto"/>
          </w:tcPr>
          <w:p w:rsidR="00B42460" w:rsidRPr="009622FC" w:rsidRDefault="00BF269F" w:rsidP="00B42460">
            <w:pPr>
              <w:pStyle w:val="NoSpacing"/>
              <w:rPr>
                <w:rFonts w:ascii="Garamond" w:hAnsi="Garamond"/>
              </w:rPr>
            </w:pPr>
            <w:r w:rsidRPr="009622FC">
              <w:rPr>
                <w:rFonts w:ascii="Garamond" w:hAnsi="Garamond"/>
              </w:rPr>
              <w:t>59</w:t>
            </w:r>
          </w:p>
        </w:tc>
      </w:tr>
    </w:tbl>
    <w:p w:rsidR="00B42460" w:rsidRPr="009622FC" w:rsidRDefault="00B42460" w:rsidP="00B42460">
      <w:pPr>
        <w:rPr>
          <w:rFonts w:ascii="Garamond" w:hAnsi="Garamond"/>
        </w:rPr>
      </w:pPr>
      <w:r w:rsidRPr="009622FC">
        <w:rPr>
          <w:rFonts w:ascii="Garamond" w:hAnsi="Garamond"/>
        </w:rPr>
        <w:br w:type="page"/>
      </w:r>
    </w:p>
    <w:p w:rsidR="00B42460" w:rsidRPr="009622FC" w:rsidRDefault="00B42460" w:rsidP="00B42460">
      <w:pPr>
        <w:pStyle w:val="Heading2"/>
        <w:rPr>
          <w:rFonts w:ascii="Garamond" w:hAnsi="Garamond"/>
          <w:color w:val="auto"/>
          <w:sz w:val="36"/>
          <w:lang w:val="en-US"/>
        </w:rPr>
      </w:pPr>
      <w:r w:rsidRPr="009622FC">
        <w:rPr>
          <w:rFonts w:ascii="Garamond" w:hAnsi="Garamond"/>
          <w:color w:val="auto"/>
          <w:sz w:val="36"/>
        </w:rPr>
        <w:lastRenderedPageBreak/>
        <w:t>List of Tables, Graph</w:t>
      </w:r>
      <w:r w:rsidR="00026AB3" w:rsidRPr="009622FC">
        <w:rPr>
          <w:rFonts w:ascii="Garamond" w:hAnsi="Garamond"/>
          <w:color w:val="auto"/>
          <w:sz w:val="36"/>
        </w:rPr>
        <w:t>ic</w:t>
      </w:r>
      <w:r w:rsidRPr="009622FC">
        <w:rPr>
          <w:rFonts w:ascii="Garamond" w:hAnsi="Garamond"/>
          <w:color w:val="auto"/>
          <w:sz w:val="36"/>
        </w:rPr>
        <w:t>s, Diagrams and Boxes</w:t>
      </w:r>
    </w:p>
    <w:p w:rsidR="00B42460" w:rsidRPr="009622FC" w:rsidRDefault="00B42460" w:rsidP="00B42460">
      <w:pPr>
        <w:rPr>
          <w:rFonts w:ascii="Garamond" w:hAnsi="Garamond"/>
        </w:rPr>
      </w:pPr>
    </w:p>
    <w:tbl>
      <w:tblPr>
        <w:tblW w:w="0" w:type="auto"/>
        <w:tblLook w:val="04A0"/>
      </w:tblPr>
      <w:tblGrid>
        <w:gridCol w:w="8613"/>
        <w:gridCol w:w="629"/>
      </w:tblGrid>
      <w:tr w:rsidR="00B42460" w:rsidRPr="009622FC">
        <w:tc>
          <w:tcPr>
            <w:tcW w:w="8613" w:type="dxa"/>
            <w:shd w:val="clear" w:color="auto" w:fill="auto"/>
          </w:tcPr>
          <w:p w:rsidR="00B42460" w:rsidRPr="009622FC" w:rsidRDefault="00B42460" w:rsidP="00B42460">
            <w:pPr>
              <w:pStyle w:val="NoSpacing"/>
              <w:rPr>
                <w:rFonts w:ascii="Garamond" w:hAnsi="Garamond"/>
                <w:b/>
              </w:rPr>
            </w:pPr>
            <w:r w:rsidRPr="009622FC">
              <w:rPr>
                <w:rFonts w:ascii="Garamond" w:hAnsi="Garamond"/>
                <w:b/>
                <w:sz w:val="24"/>
              </w:rPr>
              <w:t xml:space="preserve">List of Tables </w:t>
            </w:r>
          </w:p>
        </w:tc>
        <w:tc>
          <w:tcPr>
            <w:tcW w:w="629" w:type="dxa"/>
            <w:shd w:val="clear" w:color="auto" w:fill="auto"/>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Table 1.1 - General Statistical Data Profile of Research Areas.....................................................</w:t>
            </w:r>
          </w:p>
        </w:tc>
        <w:tc>
          <w:tcPr>
            <w:tcW w:w="629" w:type="dxa"/>
            <w:shd w:val="clear" w:color="auto" w:fill="auto"/>
          </w:tcPr>
          <w:p w:rsidR="00B42460" w:rsidRPr="009622FC" w:rsidRDefault="00FA732D" w:rsidP="00B42460">
            <w:pPr>
              <w:pStyle w:val="NoSpacing"/>
              <w:rPr>
                <w:rFonts w:ascii="Garamond" w:hAnsi="Garamond"/>
              </w:rPr>
            </w:pPr>
            <w:r w:rsidRPr="009622FC">
              <w:rPr>
                <w:rFonts w:ascii="Garamond" w:hAnsi="Garamond"/>
              </w:rPr>
              <w:t>5</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1.2 - Data Used and Source of Data ....................................................................................</w:t>
            </w:r>
          </w:p>
        </w:tc>
        <w:tc>
          <w:tcPr>
            <w:tcW w:w="629" w:type="dxa"/>
            <w:shd w:val="clear" w:color="auto" w:fill="auto"/>
          </w:tcPr>
          <w:p w:rsidR="00B42460" w:rsidRPr="009622FC" w:rsidRDefault="00FA732D" w:rsidP="00B42460">
            <w:pPr>
              <w:pStyle w:val="NoSpacing"/>
              <w:rPr>
                <w:rFonts w:ascii="Garamond" w:hAnsi="Garamond"/>
              </w:rPr>
            </w:pPr>
            <w:r w:rsidRPr="009622FC">
              <w:rPr>
                <w:rFonts w:ascii="Garamond" w:hAnsi="Garamond"/>
              </w:rPr>
              <w:t>6</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Table 2.1 - Regional Planning Pol</w:t>
            </w:r>
            <w:r w:rsidR="00933EED">
              <w:rPr>
                <w:rFonts w:ascii="Garamond" w:hAnsi="Garamond"/>
              </w:rPr>
              <w:t>icies in Natural Resource Utili</w:t>
            </w:r>
            <w:r w:rsidR="00933EED">
              <w:rPr>
                <w:rFonts w:ascii="Garamond" w:hAnsi="Garamond"/>
                <w:lang w:val="en-US"/>
              </w:rPr>
              <w:t>s</w:t>
            </w:r>
            <w:r w:rsidRPr="009622FC">
              <w:rPr>
                <w:rFonts w:ascii="Garamond" w:hAnsi="Garamond"/>
              </w:rPr>
              <w:t>ation as a Basis for Regional Economic Growth .........................................................................................................................</w:t>
            </w:r>
          </w:p>
        </w:tc>
        <w:tc>
          <w:tcPr>
            <w:tcW w:w="629" w:type="dxa"/>
            <w:shd w:val="clear" w:color="auto" w:fill="auto"/>
            <w:vAlign w:val="bottom"/>
          </w:tcPr>
          <w:p w:rsidR="00B42460" w:rsidRPr="009622FC" w:rsidRDefault="00FA732D" w:rsidP="00B42460">
            <w:pPr>
              <w:pStyle w:val="NoSpacing"/>
              <w:rPr>
                <w:rFonts w:ascii="Garamond" w:hAnsi="Garamond"/>
              </w:rPr>
            </w:pPr>
            <w:r w:rsidRPr="009622FC">
              <w:rPr>
                <w:rFonts w:ascii="Garamond" w:hAnsi="Garamond"/>
              </w:rPr>
              <w:t>9</w:t>
            </w:r>
          </w:p>
        </w:tc>
      </w:tr>
      <w:tr w:rsidR="00B42460" w:rsidRPr="009622FC">
        <w:tc>
          <w:tcPr>
            <w:tcW w:w="8613" w:type="dxa"/>
            <w:shd w:val="clear" w:color="auto" w:fill="auto"/>
          </w:tcPr>
          <w:p w:rsidR="00B42460" w:rsidRPr="009622FC" w:rsidRDefault="00B42460" w:rsidP="00933EED">
            <w:pPr>
              <w:pStyle w:val="NoSpacing"/>
              <w:rPr>
                <w:rFonts w:ascii="Garamond" w:hAnsi="Garamond"/>
              </w:rPr>
            </w:pPr>
            <w:r w:rsidRPr="009622FC">
              <w:rPr>
                <w:rFonts w:ascii="Garamond" w:hAnsi="Garamond"/>
              </w:rPr>
              <w:t>Table 2.3 - Development of Forest Land Use Permits for Mining Production/Exploitation..................................................................................................................</w:t>
            </w:r>
          </w:p>
        </w:tc>
        <w:tc>
          <w:tcPr>
            <w:tcW w:w="629" w:type="dxa"/>
            <w:shd w:val="clear" w:color="auto" w:fill="auto"/>
            <w:vAlign w:val="bottom"/>
          </w:tcPr>
          <w:p w:rsidR="00B42460" w:rsidRPr="009622FC" w:rsidRDefault="00FA732D" w:rsidP="00B42460">
            <w:pPr>
              <w:pStyle w:val="NoSpacing"/>
              <w:rPr>
                <w:rFonts w:ascii="Garamond" w:hAnsi="Garamond"/>
              </w:rPr>
            </w:pPr>
            <w:r w:rsidRPr="009622FC">
              <w:rPr>
                <w:rFonts w:ascii="Garamond" w:hAnsi="Garamond"/>
              </w:rPr>
              <w:t>13</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2.4 - Development of Mining Business Permits in East Kalimantan Province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3</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2.5 - Area of Oil Palm Regions by Province, 2008-2012 (Ha)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4</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2.6 - Area of Oil Palm Plantation Regions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5</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2.7 - Plantation Development Plan in West Kalimantan Province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5</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2.8 - Conflicts and Conflicting Companies in 2012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6</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2.9 - Critical Land Area Growth in Three Provinces, 2007-2011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6</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 xml:space="preserve">Table 2.10 - Area </w:t>
            </w:r>
            <w:r w:rsidR="005952A2">
              <w:rPr>
                <w:rFonts w:ascii="Garamond" w:hAnsi="Garamond"/>
              </w:rPr>
              <w:t>of Production Forest Land Utili</w:t>
            </w:r>
            <w:r w:rsidR="005952A2">
              <w:rPr>
                <w:rFonts w:ascii="Garamond" w:hAnsi="Garamond"/>
                <w:lang w:val="en-US"/>
              </w:rPr>
              <w:t>s</w:t>
            </w:r>
            <w:r w:rsidRPr="009622FC">
              <w:rPr>
                <w:rFonts w:ascii="Garamond" w:hAnsi="Garamond"/>
              </w:rPr>
              <w:t>ed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FA732D" w:rsidRPr="009622FC">
              <w:rPr>
                <w:rFonts w:ascii="Garamond" w:hAnsi="Garamond"/>
              </w:rPr>
              <w:t>7</w:t>
            </w:r>
          </w:p>
        </w:tc>
      </w:tr>
      <w:tr w:rsidR="00B42460" w:rsidRPr="009622FC">
        <w:tc>
          <w:tcPr>
            <w:tcW w:w="8613" w:type="dxa"/>
            <w:shd w:val="clear" w:color="auto" w:fill="auto"/>
          </w:tcPr>
          <w:p w:rsidR="00B42460" w:rsidRPr="009622FC" w:rsidRDefault="00B42460" w:rsidP="005952A2">
            <w:pPr>
              <w:pStyle w:val="NoSpacing"/>
              <w:rPr>
                <w:rFonts w:ascii="Garamond" w:hAnsi="Garamond"/>
              </w:rPr>
            </w:pPr>
            <w:r w:rsidRPr="009622FC">
              <w:rPr>
                <w:rFonts w:ascii="Garamond" w:hAnsi="Garamond"/>
              </w:rPr>
              <w:t>Table 3.1 - Comparison</w:t>
            </w:r>
            <w:r w:rsidR="005952A2">
              <w:rPr>
                <w:rFonts w:ascii="Garamond" w:hAnsi="Garamond"/>
              </w:rPr>
              <w:t xml:space="preserve"> of Original, Amended and Reali</w:t>
            </w:r>
            <w:r w:rsidR="005952A2">
              <w:rPr>
                <w:rFonts w:ascii="Garamond" w:hAnsi="Garamond"/>
                <w:lang w:val="en-US"/>
              </w:rPr>
              <w:t>s</w:t>
            </w:r>
            <w:r w:rsidRPr="009622FC">
              <w:rPr>
                <w:rFonts w:ascii="Garamond" w:hAnsi="Garamond"/>
              </w:rPr>
              <w:t>ed Revenues of Provinces and Districts, 2009-2012, Based on Constant Price 2012 (</w:t>
            </w:r>
            <w:r w:rsidR="005952A2">
              <w:rPr>
                <w:rFonts w:ascii="Garamond" w:hAnsi="Garamond"/>
                <w:lang w:val="en-US"/>
              </w:rPr>
              <w:t>Rp Billiob</w:t>
            </w:r>
            <w:r w:rsidRPr="009622FC">
              <w:rPr>
                <w:rFonts w:ascii="Garamond" w:hAnsi="Garamond"/>
              </w:rPr>
              <w:t>) ...........................................</w:t>
            </w:r>
          </w:p>
        </w:tc>
        <w:tc>
          <w:tcPr>
            <w:tcW w:w="629" w:type="dxa"/>
            <w:shd w:val="clear" w:color="auto" w:fill="auto"/>
            <w:vAlign w:val="bottom"/>
          </w:tcPr>
          <w:p w:rsidR="00B42460" w:rsidRPr="009622FC" w:rsidRDefault="00FA732D" w:rsidP="00B42460">
            <w:pPr>
              <w:pStyle w:val="NoSpacing"/>
              <w:rPr>
                <w:rFonts w:ascii="Garamond" w:hAnsi="Garamond"/>
              </w:rPr>
            </w:pPr>
            <w:r w:rsidRPr="009622FC">
              <w:rPr>
                <w:rFonts w:ascii="Garamond" w:hAnsi="Garamond"/>
              </w:rPr>
              <w:t>28</w:t>
            </w:r>
          </w:p>
        </w:tc>
      </w:tr>
      <w:tr w:rsidR="00B42460" w:rsidRPr="009622FC">
        <w:tc>
          <w:tcPr>
            <w:tcW w:w="8613" w:type="dxa"/>
            <w:shd w:val="clear" w:color="auto" w:fill="auto"/>
          </w:tcPr>
          <w:p w:rsidR="00B42460" w:rsidRPr="009622FC" w:rsidRDefault="00B42460" w:rsidP="005952A2">
            <w:pPr>
              <w:pStyle w:val="NoSpacing"/>
              <w:rPr>
                <w:rFonts w:ascii="Garamond" w:hAnsi="Garamond"/>
              </w:rPr>
            </w:pPr>
            <w:r w:rsidRPr="009622FC">
              <w:rPr>
                <w:rFonts w:ascii="Garamond" w:hAnsi="Garamond"/>
              </w:rPr>
              <w:t xml:space="preserve">Table 3.2 - Comparison </w:t>
            </w:r>
            <w:r w:rsidR="005952A2">
              <w:rPr>
                <w:rFonts w:ascii="Garamond" w:hAnsi="Garamond"/>
              </w:rPr>
              <w:t>of Original, Amended, and Reali</w:t>
            </w:r>
            <w:r w:rsidR="005952A2">
              <w:rPr>
                <w:rFonts w:ascii="Garamond" w:hAnsi="Garamond"/>
                <w:lang w:val="en-US"/>
              </w:rPr>
              <w:t>s</w:t>
            </w:r>
            <w:r w:rsidRPr="009622FC">
              <w:rPr>
                <w:rFonts w:ascii="Garamond" w:hAnsi="Garamond"/>
              </w:rPr>
              <w:t>ed Expenditure of Provinces and Districts, 2009-2012, Based on Constant Price 2012 (</w:t>
            </w:r>
            <w:r w:rsidR="005952A2">
              <w:rPr>
                <w:rFonts w:ascii="Garamond" w:hAnsi="Garamond"/>
                <w:lang w:val="en-US"/>
              </w:rPr>
              <w:t>Rp Billion</w:t>
            </w:r>
            <w:r w:rsidRPr="009622FC">
              <w:rPr>
                <w:rFonts w:ascii="Garamond" w:hAnsi="Garamond"/>
              </w:rPr>
              <w:t>) ...........................................</w:t>
            </w:r>
          </w:p>
        </w:tc>
        <w:tc>
          <w:tcPr>
            <w:tcW w:w="629" w:type="dxa"/>
            <w:shd w:val="clear" w:color="auto" w:fill="auto"/>
            <w:vAlign w:val="bottom"/>
          </w:tcPr>
          <w:p w:rsidR="00B42460" w:rsidRPr="009622FC" w:rsidRDefault="008A7EDA" w:rsidP="00B42460">
            <w:pPr>
              <w:pStyle w:val="NoSpacing"/>
              <w:rPr>
                <w:rFonts w:ascii="Garamond" w:hAnsi="Garamond"/>
              </w:rPr>
            </w:pPr>
            <w:r w:rsidRPr="009622FC">
              <w:rPr>
                <w:rFonts w:ascii="Garamond" w:hAnsi="Garamond"/>
              </w:rPr>
              <w:t>3</w:t>
            </w:r>
            <w:r w:rsidR="00FA732D" w:rsidRPr="009622FC">
              <w:rPr>
                <w:rFonts w:ascii="Garamond" w:hAnsi="Garamond"/>
              </w:rPr>
              <w:t>1</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Table 3.3 - Forestry and Land Function Expenditure per Hectare ...............................................</w:t>
            </w:r>
          </w:p>
        </w:tc>
        <w:tc>
          <w:tcPr>
            <w:tcW w:w="629" w:type="dxa"/>
            <w:shd w:val="clear" w:color="auto" w:fill="auto"/>
          </w:tcPr>
          <w:p w:rsidR="00B42460" w:rsidRPr="009622FC" w:rsidRDefault="00FA732D" w:rsidP="00B42460">
            <w:pPr>
              <w:pStyle w:val="NoSpacing"/>
              <w:rPr>
                <w:rFonts w:ascii="Garamond" w:hAnsi="Garamond"/>
              </w:rPr>
            </w:pPr>
            <w:r w:rsidRPr="009622FC">
              <w:rPr>
                <w:rFonts w:ascii="Garamond" w:hAnsi="Garamond"/>
              </w:rPr>
              <w:t>39</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Table 3.4 - SiLPA of Current Budget Year and Its Ratio to Regional Spending, East Kalimantan Province 2011 ...............................................................................................................................</w:t>
            </w:r>
          </w:p>
        </w:tc>
        <w:tc>
          <w:tcPr>
            <w:tcW w:w="629" w:type="dxa"/>
            <w:shd w:val="clear" w:color="auto" w:fill="auto"/>
            <w:vAlign w:val="bottom"/>
          </w:tcPr>
          <w:p w:rsidR="00B42460" w:rsidRPr="009622FC" w:rsidRDefault="00FA732D" w:rsidP="00B42460">
            <w:pPr>
              <w:pStyle w:val="NoSpacing"/>
              <w:rPr>
                <w:rFonts w:ascii="Garamond" w:hAnsi="Garamond"/>
              </w:rPr>
            </w:pPr>
            <w:r w:rsidRPr="009622FC">
              <w:rPr>
                <w:rFonts w:ascii="Garamond" w:hAnsi="Garamond"/>
              </w:rPr>
              <w:t>46</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Table of Appendix 1.1 – Management of Land and Forest Governance Functions in the Research Areas.................................................................................................... ........................</w:t>
            </w:r>
          </w:p>
        </w:tc>
        <w:tc>
          <w:tcPr>
            <w:tcW w:w="629" w:type="dxa"/>
            <w:shd w:val="clear" w:color="auto" w:fill="auto"/>
          </w:tcPr>
          <w:p w:rsidR="00B42460" w:rsidRPr="009622FC" w:rsidRDefault="00FA732D" w:rsidP="00B42460">
            <w:pPr>
              <w:pStyle w:val="NoSpacing"/>
              <w:rPr>
                <w:rFonts w:ascii="Garamond" w:hAnsi="Garamond"/>
              </w:rPr>
            </w:pPr>
            <w:r w:rsidRPr="009622FC">
              <w:rPr>
                <w:rFonts w:ascii="Garamond" w:hAnsi="Garamond"/>
              </w:rPr>
              <w:t>57</w:t>
            </w:r>
          </w:p>
        </w:tc>
      </w:tr>
      <w:tr w:rsidR="00B42460" w:rsidRPr="009622FC">
        <w:tc>
          <w:tcPr>
            <w:tcW w:w="8613" w:type="dxa"/>
            <w:shd w:val="clear" w:color="auto" w:fill="auto"/>
          </w:tcPr>
          <w:p w:rsidR="00B42460" w:rsidRPr="009622FC" w:rsidRDefault="00FB0830" w:rsidP="00B42460">
            <w:pPr>
              <w:pStyle w:val="NoSpacing"/>
              <w:rPr>
                <w:rFonts w:ascii="Garamond" w:hAnsi="Garamond"/>
              </w:rPr>
            </w:pPr>
            <w:r>
              <w:rPr>
                <w:rFonts w:ascii="Garamond" w:hAnsi="Garamond"/>
              </w:rPr>
              <w:t xml:space="preserve">Table of Appendix 1.2 - </w:t>
            </w:r>
            <w:r w:rsidR="00B42460" w:rsidRPr="009622FC">
              <w:rPr>
                <w:rFonts w:ascii="Garamond" w:hAnsi="Garamond"/>
              </w:rPr>
              <w:t>Division of Authority Between Government Levels in the Governance of Forestry, Mining and Plantation Affairs</w:t>
            </w:r>
          </w:p>
        </w:tc>
        <w:tc>
          <w:tcPr>
            <w:tcW w:w="629" w:type="dxa"/>
            <w:shd w:val="clear" w:color="auto" w:fill="auto"/>
            <w:vAlign w:val="bottom"/>
          </w:tcPr>
          <w:p w:rsidR="00B42460" w:rsidRPr="009622FC" w:rsidRDefault="00FA732D" w:rsidP="00B42460">
            <w:pPr>
              <w:pStyle w:val="NoSpacing"/>
              <w:rPr>
                <w:rFonts w:ascii="Garamond" w:hAnsi="Garamond"/>
              </w:rPr>
            </w:pPr>
            <w:r w:rsidRPr="009622FC">
              <w:rPr>
                <w:rFonts w:ascii="Garamond" w:hAnsi="Garamond"/>
              </w:rPr>
              <w:t>59</w:t>
            </w:r>
          </w:p>
        </w:tc>
      </w:tr>
      <w:tr w:rsidR="00B42460" w:rsidRPr="009622FC">
        <w:tc>
          <w:tcPr>
            <w:tcW w:w="8613" w:type="dxa"/>
            <w:shd w:val="clear" w:color="auto" w:fill="auto"/>
          </w:tcPr>
          <w:p w:rsidR="00B42460" w:rsidRPr="009622FC" w:rsidRDefault="00B42460" w:rsidP="00B42460">
            <w:pPr>
              <w:pStyle w:val="NoSpacing"/>
              <w:rPr>
                <w:rFonts w:ascii="Garamond" w:hAnsi="Garamond"/>
              </w:rPr>
            </w:pPr>
          </w:p>
        </w:tc>
        <w:tc>
          <w:tcPr>
            <w:tcW w:w="629" w:type="dxa"/>
            <w:shd w:val="clear" w:color="auto" w:fill="auto"/>
            <w:vAlign w:val="bottom"/>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B42460" w:rsidP="00B42460">
            <w:pPr>
              <w:pStyle w:val="NoSpacing"/>
              <w:rPr>
                <w:rFonts w:ascii="Garamond" w:hAnsi="Garamond"/>
                <w:b/>
              </w:rPr>
            </w:pPr>
            <w:r w:rsidRPr="009622FC">
              <w:rPr>
                <w:rFonts w:ascii="Garamond" w:hAnsi="Garamond"/>
                <w:b/>
              </w:rPr>
              <w:t>List of Graph</w:t>
            </w:r>
            <w:r w:rsidR="00273E5C" w:rsidRPr="009622FC">
              <w:rPr>
                <w:rFonts w:ascii="Garamond" w:hAnsi="Garamond"/>
                <w:b/>
              </w:rPr>
              <w:t>ic</w:t>
            </w:r>
            <w:r w:rsidRPr="009622FC">
              <w:rPr>
                <w:rFonts w:ascii="Garamond" w:hAnsi="Garamond"/>
                <w:b/>
              </w:rPr>
              <w:t>s</w:t>
            </w:r>
          </w:p>
        </w:tc>
        <w:tc>
          <w:tcPr>
            <w:tcW w:w="629" w:type="dxa"/>
            <w:shd w:val="clear" w:color="auto" w:fill="auto"/>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2.1 - Growth in the Production of Petroleum, Natural Gas and Coal in South Sumatra and East Kalimantan Provinces, 2009- 2012……….........................................................................</w:t>
            </w:r>
          </w:p>
        </w:tc>
        <w:tc>
          <w:tcPr>
            <w:tcW w:w="629" w:type="dxa"/>
            <w:shd w:val="clear" w:color="auto" w:fill="auto"/>
            <w:vAlign w:val="bottom"/>
          </w:tcPr>
          <w:p w:rsidR="00B42460" w:rsidRPr="009622FC" w:rsidRDefault="00B42460" w:rsidP="00B42460">
            <w:pPr>
              <w:pStyle w:val="NoSpacing"/>
              <w:rPr>
                <w:rFonts w:ascii="Garamond" w:hAnsi="Garamond"/>
              </w:rPr>
            </w:pPr>
            <w:r w:rsidRPr="009622FC">
              <w:rPr>
                <w:rFonts w:ascii="Garamond" w:hAnsi="Garamond"/>
              </w:rPr>
              <w:t>1</w:t>
            </w:r>
            <w:r w:rsidR="00273E5C" w:rsidRPr="009622FC">
              <w:rPr>
                <w:rFonts w:ascii="Garamond" w:hAnsi="Garamond"/>
              </w:rPr>
              <w:t>2</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3.1 - District Revenue Composition, 2009-2012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273E5C" w:rsidRPr="009622FC">
              <w:rPr>
                <w:rFonts w:ascii="Garamond" w:hAnsi="Garamond"/>
              </w:rPr>
              <w:t>1</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3.2 - Provincial Revenue Composition, 2009-2012 .........................................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273E5C" w:rsidRPr="009622FC">
              <w:rPr>
                <w:rFonts w:ascii="Garamond" w:hAnsi="Garamond"/>
              </w:rPr>
              <w:t>1</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3.3 - Provincial Balanced Fund Composition, 2009-2012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273E5C" w:rsidRPr="009622FC">
              <w:rPr>
                <w:rFonts w:ascii="Garamond" w:hAnsi="Garamond"/>
              </w:rPr>
              <w:t>2</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3.4 - District Balanced Fund Composition, 2009-2012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273E5C" w:rsidRPr="009622FC">
              <w:rPr>
                <w:rFonts w:ascii="Garamond" w:hAnsi="Garamond"/>
              </w:rPr>
              <w:t>2</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3.5 - Provincial DBH-SDA Composition, 2009-2011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2</w:t>
            </w:r>
            <w:r w:rsidR="00273E5C" w:rsidRPr="009622FC">
              <w:rPr>
                <w:rFonts w:ascii="Garamond" w:hAnsi="Garamond"/>
              </w:rPr>
              <w:t>4</w:t>
            </w: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t>Graphic</w:t>
            </w:r>
            <w:r w:rsidR="00B42460" w:rsidRPr="009622FC">
              <w:rPr>
                <w:rFonts w:ascii="Garamond" w:hAnsi="Garamond"/>
              </w:rPr>
              <w:t xml:space="preserve"> 3.6 - District-Level Natural Resources Profit-Sharing Fund Composition, 2009-2012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273E5C" w:rsidRPr="009622FC">
              <w:rPr>
                <w:rFonts w:ascii="Garamond" w:hAnsi="Garamond"/>
              </w:rPr>
              <w:t>4</w:t>
            </w: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t>Graphic</w:t>
            </w:r>
            <w:r w:rsidR="00B42460" w:rsidRPr="009622FC">
              <w:rPr>
                <w:rFonts w:ascii="Garamond" w:hAnsi="Garamond"/>
              </w:rPr>
              <w:t xml:space="preserve"> </w:t>
            </w:r>
            <w:r w:rsidR="005952A2">
              <w:rPr>
                <w:rFonts w:ascii="Garamond" w:hAnsi="Garamond"/>
              </w:rPr>
              <w:t>3.7 - Budget Transfer and Reali</w:t>
            </w:r>
            <w:r w:rsidR="005952A2">
              <w:rPr>
                <w:rFonts w:ascii="Garamond" w:hAnsi="Garamond"/>
                <w:lang w:val="en-US"/>
              </w:rPr>
              <w:t>s</w:t>
            </w:r>
            <w:r w:rsidR="00B42460" w:rsidRPr="009622FC">
              <w:rPr>
                <w:rFonts w:ascii="Garamond" w:hAnsi="Garamond"/>
              </w:rPr>
              <w:t>ation of Forestry Natural Resources, 2009-2011............................................................................................................................................</w:t>
            </w:r>
          </w:p>
        </w:tc>
        <w:tc>
          <w:tcPr>
            <w:tcW w:w="629" w:type="dxa"/>
            <w:shd w:val="clear" w:color="auto" w:fill="auto"/>
          </w:tcPr>
          <w:p w:rsidR="00B42460" w:rsidRPr="009622FC" w:rsidRDefault="00B42460" w:rsidP="00B42460">
            <w:pPr>
              <w:pStyle w:val="NoSpacing"/>
              <w:rPr>
                <w:rFonts w:ascii="Garamond" w:hAnsi="Garamond"/>
                <w:lang w:val="en-US"/>
              </w:rPr>
            </w:pPr>
          </w:p>
          <w:p w:rsidR="00B42460" w:rsidRPr="009622FC" w:rsidRDefault="008A7EDA" w:rsidP="00B42460">
            <w:pPr>
              <w:pStyle w:val="NoSpacing"/>
              <w:rPr>
                <w:rFonts w:ascii="Garamond" w:hAnsi="Garamond"/>
              </w:rPr>
            </w:pPr>
            <w:r w:rsidRPr="009622FC">
              <w:rPr>
                <w:rFonts w:ascii="Garamond" w:hAnsi="Garamond"/>
              </w:rPr>
              <w:t>2</w:t>
            </w:r>
            <w:r w:rsidR="00273E5C" w:rsidRPr="009622FC">
              <w:rPr>
                <w:rFonts w:ascii="Garamond" w:hAnsi="Garamond"/>
              </w:rPr>
              <w:t>5</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3.8 - Provincial Revenue and Growth, 2009 -2012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2</w:t>
            </w:r>
            <w:r w:rsidR="00273E5C" w:rsidRPr="009622FC">
              <w:rPr>
                <w:rFonts w:ascii="Garamond" w:hAnsi="Garamond"/>
              </w:rPr>
              <w:t>6</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3.9 - District-Level Revenue and Growth, 2009 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2</w:t>
            </w:r>
            <w:r w:rsidR="00273E5C" w:rsidRPr="009622FC">
              <w:rPr>
                <w:rFonts w:ascii="Garamond" w:hAnsi="Garamond"/>
              </w:rPr>
              <w:t>7</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3.10 - Per Capita Regional Revenue, 2010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28</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3.11 - DBH Per Capita and Its Ratio to Regional Revenue, 2009-2012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29</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3.12 - Profit-Sharing Fund Trend Per Capita and Its Ratio to Revenue, 2009-2011.................................................................................................... .........................................</w:t>
            </w:r>
          </w:p>
        </w:tc>
        <w:tc>
          <w:tcPr>
            <w:tcW w:w="629" w:type="dxa"/>
            <w:shd w:val="clear" w:color="auto" w:fill="auto"/>
          </w:tcPr>
          <w:p w:rsidR="00B42460" w:rsidRPr="009622FC" w:rsidRDefault="00B42460" w:rsidP="00B42460">
            <w:pPr>
              <w:pStyle w:val="NoSpacing"/>
              <w:rPr>
                <w:rFonts w:ascii="Garamond" w:hAnsi="Garamond"/>
                <w:lang w:val="en-US"/>
              </w:rPr>
            </w:pPr>
          </w:p>
          <w:p w:rsidR="00B42460" w:rsidRPr="009622FC" w:rsidRDefault="00273E5C" w:rsidP="00B42460">
            <w:pPr>
              <w:pStyle w:val="NoSpacing"/>
              <w:rPr>
                <w:rFonts w:ascii="Garamond" w:hAnsi="Garamond"/>
              </w:rPr>
            </w:pPr>
            <w:r w:rsidRPr="009622FC">
              <w:rPr>
                <w:rFonts w:ascii="Garamond" w:hAnsi="Garamond"/>
              </w:rPr>
              <w:t>29</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3.13 - DBH SDA Revenue and Poverty Rate, 2010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30</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3.14 - Provincial Expenditure and Growth, 2009 -2012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1</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3.15 - District-Level Revenue and Growth, 2009 -2012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2</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3.16 - District-Level Expenditure Composition, 2009-2012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3</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3.17 - Provincial Expenditure Composition, 2009-2012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5</w:t>
            </w: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t>Graphic</w:t>
            </w:r>
            <w:r w:rsidR="00B42460" w:rsidRPr="009622FC">
              <w:rPr>
                <w:rFonts w:ascii="Garamond" w:hAnsi="Garamond"/>
              </w:rPr>
              <w:t xml:space="preserve"> 3.18 - District-Level Expenditure on Land and Forest Sector Functions, 2009-2012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6</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3.19 - Provincial Expenditure on Land and Forest Sector Functions, 2009-2012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6</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3.20 - Proportion of District-Level Forestry Functions to Regional Expenditure, 2009-2012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3</w:t>
            </w:r>
            <w:r w:rsidR="00273E5C" w:rsidRPr="009622FC">
              <w:rPr>
                <w:rFonts w:ascii="Garamond" w:hAnsi="Garamond"/>
              </w:rPr>
              <w:t>7</w:t>
            </w: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t>Graphic</w:t>
            </w:r>
            <w:r w:rsidR="00B42460" w:rsidRPr="009622FC">
              <w:rPr>
                <w:rFonts w:ascii="Garamond" w:hAnsi="Garamond"/>
              </w:rPr>
              <w:t xml:space="preserve"> 3.21 - Proportion of Provincial Forestry Functions to Regional Expenditure, 2009-2012 </w:t>
            </w:r>
          </w:p>
        </w:tc>
        <w:tc>
          <w:tcPr>
            <w:tcW w:w="629" w:type="dxa"/>
            <w:shd w:val="clear" w:color="auto" w:fill="auto"/>
          </w:tcPr>
          <w:p w:rsidR="00B42460" w:rsidRDefault="008A7EDA" w:rsidP="00B42460">
            <w:pPr>
              <w:pStyle w:val="NoSpacing"/>
              <w:rPr>
                <w:rFonts w:ascii="Garamond" w:hAnsi="Garamond"/>
                <w:lang w:val="en-US"/>
              </w:rPr>
            </w:pPr>
            <w:r w:rsidRPr="009622FC">
              <w:rPr>
                <w:rFonts w:ascii="Garamond" w:hAnsi="Garamond"/>
              </w:rPr>
              <w:t>3</w:t>
            </w:r>
            <w:r w:rsidR="00273E5C" w:rsidRPr="009622FC">
              <w:rPr>
                <w:rFonts w:ascii="Garamond" w:hAnsi="Garamond"/>
              </w:rPr>
              <w:t>8</w:t>
            </w:r>
          </w:p>
          <w:p w:rsidR="00DE2965" w:rsidRPr="00DE2965" w:rsidRDefault="00DE2965" w:rsidP="00B42460">
            <w:pPr>
              <w:pStyle w:val="NoSpacing"/>
              <w:rPr>
                <w:rFonts w:ascii="Garamond" w:hAnsi="Garamond"/>
                <w:lang w:val="en-US"/>
              </w:rPr>
            </w:pP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lastRenderedPageBreak/>
              <w:t>Graphic</w:t>
            </w:r>
            <w:r w:rsidR="00B42460" w:rsidRPr="009622FC">
              <w:rPr>
                <w:rFonts w:ascii="Garamond" w:hAnsi="Garamond"/>
              </w:rPr>
              <w:t xml:space="preserve"> 3.22 - Ratio of Expenditure on Forestry Functions to Forestry Balanced Fund, 2009-2012..............................................................................................................................................</w:t>
            </w:r>
          </w:p>
        </w:tc>
        <w:tc>
          <w:tcPr>
            <w:tcW w:w="629" w:type="dxa"/>
            <w:shd w:val="clear" w:color="auto" w:fill="auto"/>
            <w:vAlign w:val="bottom"/>
          </w:tcPr>
          <w:p w:rsidR="00B42460" w:rsidRPr="009622FC" w:rsidRDefault="008A7EDA" w:rsidP="00B42460">
            <w:pPr>
              <w:pStyle w:val="NoSpacing"/>
              <w:rPr>
                <w:rFonts w:ascii="Garamond" w:hAnsi="Garamond"/>
              </w:rPr>
            </w:pPr>
            <w:r w:rsidRPr="009622FC">
              <w:rPr>
                <w:rFonts w:ascii="Garamond" w:hAnsi="Garamond"/>
              </w:rPr>
              <w:t>40</w:t>
            </w: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t>Graphic</w:t>
            </w:r>
            <w:r w:rsidR="00B42460" w:rsidRPr="009622FC">
              <w:rPr>
                <w:rFonts w:ascii="Garamond" w:hAnsi="Garamond"/>
              </w:rPr>
              <w:t xml:space="preserve"> 3.23 - DBH SDA Contribution to Personnel Spending, 2011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4</w:t>
            </w:r>
            <w:r w:rsidR="00273E5C" w:rsidRPr="009622FC">
              <w:rPr>
                <w:rFonts w:ascii="Garamond" w:hAnsi="Garamond"/>
              </w:rPr>
              <w:t>0</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3.24 - Expenditure on Spatial Zoning Functions, 2009 -2012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4</w:t>
            </w:r>
            <w:r w:rsidR="00273E5C" w:rsidRPr="009622FC">
              <w:rPr>
                <w:rFonts w:ascii="Garamond" w:hAnsi="Garamond"/>
              </w:rPr>
              <w:t>1</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3.26 - Expenditure on Agricultural Functions, 2009 -2011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4</w:t>
            </w:r>
            <w:r w:rsidR="00273E5C" w:rsidRPr="009622FC">
              <w:rPr>
                <w:rFonts w:ascii="Garamond" w:hAnsi="Garamond"/>
              </w:rPr>
              <w:t>3</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3.27 - Provincial Deficit/Surplus, 2009-2012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4</w:t>
            </w:r>
            <w:r w:rsidR="00273E5C" w:rsidRPr="009622FC">
              <w:rPr>
                <w:rFonts w:ascii="Garamond" w:hAnsi="Garamond"/>
              </w:rPr>
              <w:t>5</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3.28 - Ratio of SiLPA to Provincial Spending, 2009-2011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4</w:t>
            </w:r>
            <w:r w:rsidR="00273E5C" w:rsidRPr="009622FC">
              <w:rPr>
                <w:rFonts w:ascii="Garamond" w:hAnsi="Garamond"/>
              </w:rPr>
              <w:t>5</w:t>
            </w:r>
          </w:p>
        </w:tc>
      </w:tr>
      <w:tr w:rsidR="00B42460" w:rsidRPr="009622FC">
        <w:tc>
          <w:tcPr>
            <w:tcW w:w="8613" w:type="dxa"/>
            <w:shd w:val="clear" w:color="auto" w:fill="auto"/>
          </w:tcPr>
          <w:p w:rsidR="00B42460" w:rsidRPr="009622FC" w:rsidRDefault="00273E5C" w:rsidP="00B42460">
            <w:pPr>
              <w:pStyle w:val="NoSpacing"/>
              <w:rPr>
                <w:rFonts w:ascii="Garamond" w:hAnsi="Garamond"/>
                <w:lang w:val="en-US"/>
              </w:rPr>
            </w:pPr>
            <w:r w:rsidRPr="009622FC">
              <w:rPr>
                <w:rFonts w:ascii="Garamond" w:hAnsi="Garamond"/>
              </w:rPr>
              <w:t>Graphic</w:t>
            </w:r>
            <w:r w:rsidR="00B42460" w:rsidRPr="009622FC">
              <w:rPr>
                <w:rFonts w:ascii="Garamond" w:hAnsi="Garamond"/>
              </w:rPr>
              <w:t xml:space="preserve"> 3.29 - Provincial Real Fiscal Space Per Capita and Its Ratio to Revenue, 2009-2012 .....</w:t>
            </w:r>
          </w:p>
        </w:tc>
        <w:tc>
          <w:tcPr>
            <w:tcW w:w="629" w:type="dxa"/>
            <w:shd w:val="clear" w:color="auto" w:fill="auto"/>
            <w:vAlign w:val="bottom"/>
          </w:tcPr>
          <w:p w:rsidR="00B42460" w:rsidRPr="009622FC" w:rsidRDefault="00273E5C" w:rsidP="00B42460">
            <w:pPr>
              <w:pStyle w:val="NoSpacing"/>
              <w:rPr>
                <w:rFonts w:ascii="Garamond" w:hAnsi="Garamond"/>
              </w:rPr>
            </w:pPr>
            <w:r w:rsidRPr="009622FC">
              <w:rPr>
                <w:rFonts w:ascii="Garamond" w:hAnsi="Garamond"/>
              </w:rPr>
              <w:t>48</w:t>
            </w:r>
          </w:p>
        </w:tc>
      </w:tr>
      <w:tr w:rsidR="00B42460" w:rsidRPr="009622FC">
        <w:tc>
          <w:tcPr>
            <w:tcW w:w="8613" w:type="dxa"/>
            <w:shd w:val="clear" w:color="auto" w:fill="auto"/>
          </w:tcPr>
          <w:p w:rsidR="00B42460" w:rsidRPr="009622FC" w:rsidRDefault="00273E5C" w:rsidP="00B42460">
            <w:pPr>
              <w:pStyle w:val="NoSpacing"/>
              <w:rPr>
                <w:rFonts w:ascii="Garamond" w:hAnsi="Garamond"/>
              </w:rPr>
            </w:pPr>
            <w:r w:rsidRPr="009622FC">
              <w:rPr>
                <w:rFonts w:ascii="Garamond" w:hAnsi="Garamond"/>
              </w:rPr>
              <w:t>Graphic</w:t>
            </w:r>
            <w:r w:rsidR="00B42460" w:rsidRPr="009622FC">
              <w:rPr>
                <w:rFonts w:ascii="Garamond" w:hAnsi="Garamond"/>
              </w:rPr>
              <w:t xml:space="preserve"> 3.30 - District Real Fiscal Space Per Capita and Its Ratio to Revenue, 2009-2012.........</w:t>
            </w:r>
          </w:p>
        </w:tc>
        <w:tc>
          <w:tcPr>
            <w:tcW w:w="629" w:type="dxa"/>
            <w:shd w:val="clear" w:color="auto" w:fill="auto"/>
            <w:vAlign w:val="bottom"/>
          </w:tcPr>
          <w:p w:rsidR="00B42460" w:rsidRPr="009622FC" w:rsidRDefault="00273E5C" w:rsidP="00B42460">
            <w:pPr>
              <w:pStyle w:val="NoSpacing"/>
              <w:rPr>
                <w:rFonts w:ascii="Garamond" w:hAnsi="Garamond"/>
              </w:rPr>
            </w:pPr>
            <w:r w:rsidRPr="009622FC">
              <w:rPr>
                <w:rFonts w:ascii="Garamond" w:hAnsi="Garamond"/>
              </w:rPr>
              <w:t>49</w:t>
            </w:r>
          </w:p>
        </w:tc>
      </w:tr>
      <w:tr w:rsidR="00B42460" w:rsidRPr="009622FC">
        <w:tc>
          <w:tcPr>
            <w:tcW w:w="8613" w:type="dxa"/>
            <w:shd w:val="clear" w:color="auto" w:fill="auto"/>
          </w:tcPr>
          <w:p w:rsidR="00B42460" w:rsidRPr="009622FC" w:rsidRDefault="00B42460" w:rsidP="00B42460">
            <w:pPr>
              <w:pStyle w:val="NoSpacing"/>
              <w:rPr>
                <w:rFonts w:ascii="Garamond" w:hAnsi="Garamond"/>
              </w:rPr>
            </w:pPr>
          </w:p>
        </w:tc>
        <w:tc>
          <w:tcPr>
            <w:tcW w:w="629" w:type="dxa"/>
            <w:shd w:val="clear" w:color="auto" w:fill="auto"/>
            <w:vAlign w:val="bottom"/>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B42460" w:rsidP="00B42460">
            <w:pPr>
              <w:pStyle w:val="NoSpacing"/>
              <w:rPr>
                <w:rFonts w:ascii="Garamond" w:hAnsi="Garamond"/>
                <w:b/>
              </w:rPr>
            </w:pPr>
            <w:r w:rsidRPr="009622FC">
              <w:rPr>
                <w:rFonts w:ascii="Garamond" w:hAnsi="Garamond"/>
                <w:b/>
                <w:sz w:val="24"/>
              </w:rPr>
              <w:t>List of Diagrams</w:t>
            </w:r>
          </w:p>
        </w:tc>
        <w:tc>
          <w:tcPr>
            <w:tcW w:w="629" w:type="dxa"/>
            <w:shd w:val="clear" w:color="auto" w:fill="auto"/>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Diagram 1.1  Framework of Research on Budget Policies in Land and Forest Governance ........</w:t>
            </w:r>
          </w:p>
        </w:tc>
        <w:tc>
          <w:tcPr>
            <w:tcW w:w="629" w:type="dxa"/>
            <w:shd w:val="clear" w:color="auto" w:fill="auto"/>
            <w:vAlign w:val="bottom"/>
          </w:tcPr>
          <w:p w:rsidR="00B42460" w:rsidRPr="009622FC" w:rsidRDefault="00273E5C" w:rsidP="00B42460">
            <w:pPr>
              <w:pStyle w:val="NoSpacing"/>
              <w:rPr>
                <w:rFonts w:ascii="Garamond" w:hAnsi="Garamond"/>
              </w:rPr>
            </w:pPr>
            <w:r w:rsidRPr="009622FC">
              <w:rPr>
                <w:rFonts w:ascii="Garamond" w:hAnsi="Garamond"/>
              </w:rPr>
              <w:t>4</w:t>
            </w:r>
          </w:p>
        </w:tc>
      </w:tr>
      <w:tr w:rsidR="00B42460" w:rsidRPr="009622FC">
        <w:tc>
          <w:tcPr>
            <w:tcW w:w="8613" w:type="dxa"/>
            <w:shd w:val="clear" w:color="auto" w:fill="auto"/>
          </w:tcPr>
          <w:p w:rsidR="00B42460" w:rsidRPr="009622FC" w:rsidRDefault="00B42460" w:rsidP="00B42460">
            <w:pPr>
              <w:pStyle w:val="NoSpacing"/>
              <w:rPr>
                <w:rFonts w:ascii="Garamond" w:hAnsi="Garamond"/>
                <w:lang w:val="en-US"/>
              </w:rPr>
            </w:pPr>
            <w:r w:rsidRPr="009622FC">
              <w:rPr>
                <w:rFonts w:ascii="Garamond" w:hAnsi="Garamond"/>
              </w:rPr>
              <w:t>Diagram 1.2  Analysis Scheme of Land and Forest Governance Budget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7</w:t>
            </w:r>
          </w:p>
        </w:tc>
      </w:tr>
      <w:tr w:rsidR="00B42460" w:rsidRPr="009622FC">
        <w:tc>
          <w:tcPr>
            <w:tcW w:w="8613" w:type="dxa"/>
            <w:shd w:val="clear" w:color="auto" w:fill="auto"/>
          </w:tcPr>
          <w:p w:rsidR="00B42460" w:rsidRPr="009622FC" w:rsidRDefault="00B42460" w:rsidP="00B42460">
            <w:pPr>
              <w:pStyle w:val="NoSpacing"/>
              <w:rPr>
                <w:rFonts w:ascii="Garamond" w:hAnsi="Garamond"/>
              </w:rPr>
            </w:pPr>
          </w:p>
        </w:tc>
        <w:tc>
          <w:tcPr>
            <w:tcW w:w="629" w:type="dxa"/>
            <w:shd w:val="clear" w:color="auto" w:fill="auto"/>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B42460" w:rsidP="00B42460">
            <w:pPr>
              <w:pStyle w:val="NoSpacing"/>
              <w:rPr>
                <w:rFonts w:ascii="Garamond" w:hAnsi="Garamond"/>
                <w:b/>
              </w:rPr>
            </w:pPr>
            <w:r w:rsidRPr="009622FC">
              <w:rPr>
                <w:rFonts w:ascii="Garamond" w:hAnsi="Garamond"/>
                <w:b/>
                <w:sz w:val="24"/>
              </w:rPr>
              <w:t>List of Boxes</w:t>
            </w:r>
          </w:p>
        </w:tc>
        <w:tc>
          <w:tcPr>
            <w:tcW w:w="629" w:type="dxa"/>
            <w:shd w:val="clear" w:color="auto" w:fill="auto"/>
          </w:tcPr>
          <w:p w:rsidR="00B42460" w:rsidRPr="009622FC" w:rsidRDefault="00B42460" w:rsidP="00B42460">
            <w:pPr>
              <w:pStyle w:val="NoSpacing"/>
              <w:rPr>
                <w:rFonts w:ascii="Garamond" w:hAnsi="Garamond"/>
              </w:rPr>
            </w:pP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2.1 Formation of Reclamation and Post-Mining Supervising Committee in East Kalimantan</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1</w:t>
            </w:r>
            <w:r w:rsidR="00273E5C" w:rsidRPr="009622FC">
              <w:rPr>
                <w:rFonts w:ascii="Garamond" w:hAnsi="Garamond"/>
              </w:rPr>
              <w:t>0</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3.1 Balanced Funds for Reducing Fiscal Gap ..........................................................................</w:t>
            </w:r>
          </w:p>
        </w:tc>
        <w:tc>
          <w:tcPr>
            <w:tcW w:w="629" w:type="dxa"/>
            <w:shd w:val="clear" w:color="auto" w:fill="auto"/>
          </w:tcPr>
          <w:p w:rsidR="00B42460" w:rsidRPr="009622FC" w:rsidRDefault="00B42460" w:rsidP="00B42460">
            <w:pPr>
              <w:pStyle w:val="NoSpacing"/>
              <w:rPr>
                <w:rFonts w:ascii="Garamond" w:hAnsi="Garamond"/>
              </w:rPr>
            </w:pPr>
            <w:r w:rsidRPr="009622FC">
              <w:rPr>
                <w:rFonts w:ascii="Garamond" w:hAnsi="Garamond"/>
              </w:rPr>
              <w:t>2</w:t>
            </w:r>
            <w:r w:rsidR="00273E5C" w:rsidRPr="009622FC">
              <w:rPr>
                <w:rFonts w:ascii="Garamond" w:hAnsi="Garamond"/>
              </w:rPr>
              <w:t>3</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3.2 Budget Politics during APBD Amendment Period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32</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3.3 Composition of Spending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33</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3.4 Companies Failing to Deposit Reclamation Guarantee Funds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42</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3.5 Food Estate Program in West Kalimantan Province ......................................................</w:t>
            </w:r>
          </w:p>
        </w:tc>
        <w:tc>
          <w:tcPr>
            <w:tcW w:w="629" w:type="dxa"/>
            <w:shd w:val="clear" w:color="auto" w:fill="auto"/>
          </w:tcPr>
          <w:p w:rsidR="00B42460" w:rsidRPr="009622FC" w:rsidRDefault="00273E5C" w:rsidP="00B42460">
            <w:pPr>
              <w:pStyle w:val="NoSpacing"/>
              <w:rPr>
                <w:rFonts w:ascii="Garamond" w:hAnsi="Garamond"/>
              </w:rPr>
            </w:pPr>
            <w:r w:rsidRPr="009622FC">
              <w:rPr>
                <w:rFonts w:ascii="Garamond" w:hAnsi="Garamond"/>
              </w:rPr>
              <w:t>44</w:t>
            </w:r>
          </w:p>
        </w:tc>
      </w:tr>
      <w:tr w:rsidR="00B42460" w:rsidRPr="009622FC">
        <w:tc>
          <w:tcPr>
            <w:tcW w:w="8613" w:type="dxa"/>
            <w:shd w:val="clear" w:color="auto" w:fill="auto"/>
          </w:tcPr>
          <w:p w:rsidR="00B42460" w:rsidRPr="009622FC" w:rsidRDefault="00B42460" w:rsidP="00B42460">
            <w:pPr>
              <w:pStyle w:val="NoSpacing"/>
              <w:rPr>
                <w:rFonts w:ascii="Garamond" w:hAnsi="Garamond"/>
              </w:rPr>
            </w:pPr>
            <w:r w:rsidRPr="009622FC">
              <w:rPr>
                <w:rFonts w:ascii="Garamond" w:hAnsi="Garamond"/>
              </w:rPr>
              <w:t>Box 3.6 Methods of Corruption Using SiLPA ...............................................................................</w:t>
            </w:r>
          </w:p>
        </w:tc>
        <w:tc>
          <w:tcPr>
            <w:tcW w:w="629" w:type="dxa"/>
            <w:shd w:val="clear" w:color="auto" w:fill="auto"/>
          </w:tcPr>
          <w:p w:rsidR="00B42460" w:rsidRPr="009622FC" w:rsidRDefault="008A7EDA" w:rsidP="00B42460">
            <w:pPr>
              <w:pStyle w:val="NoSpacing"/>
              <w:rPr>
                <w:rFonts w:ascii="Garamond" w:hAnsi="Garamond"/>
              </w:rPr>
            </w:pPr>
            <w:r w:rsidRPr="009622FC">
              <w:rPr>
                <w:rFonts w:ascii="Garamond" w:hAnsi="Garamond"/>
              </w:rPr>
              <w:t>4</w:t>
            </w:r>
            <w:r w:rsidR="00273E5C" w:rsidRPr="009622FC">
              <w:rPr>
                <w:rFonts w:ascii="Garamond" w:hAnsi="Garamond"/>
              </w:rPr>
              <w:t>6</w:t>
            </w:r>
          </w:p>
        </w:tc>
      </w:tr>
    </w:tbl>
    <w:p w:rsidR="005A0E07" w:rsidRPr="009622FC" w:rsidRDefault="00307EFE">
      <w:pPr>
        <w:spacing w:after="0" w:line="240" w:lineRule="auto"/>
        <w:rPr>
          <w:rFonts w:ascii="Garamond" w:hAnsi="Garamond"/>
        </w:rPr>
      </w:pPr>
      <w:r w:rsidRPr="009622FC">
        <w:rPr>
          <w:rFonts w:ascii="Garamond" w:hAnsi="Garamond"/>
        </w:rPr>
        <w:t xml:space="preserve"> </w:t>
      </w:r>
    </w:p>
    <w:p w:rsidR="00307EFE" w:rsidRPr="009622FC" w:rsidRDefault="005A0E07">
      <w:pPr>
        <w:spacing w:after="0" w:line="240" w:lineRule="auto"/>
        <w:rPr>
          <w:rFonts w:ascii="Garamond" w:hAnsi="Garamond"/>
        </w:rPr>
      </w:pPr>
      <w:r w:rsidRPr="009622FC">
        <w:rPr>
          <w:rFonts w:ascii="Garamond" w:hAnsi="Garamond"/>
        </w:rPr>
        <w:br w:type="page"/>
      </w:r>
    </w:p>
    <w:p w:rsidR="00B42460" w:rsidRPr="009622FC" w:rsidRDefault="00B42460" w:rsidP="00B42460">
      <w:pPr>
        <w:pStyle w:val="Heading2"/>
        <w:rPr>
          <w:rFonts w:ascii="Garamond" w:hAnsi="Garamond"/>
          <w:color w:val="auto"/>
          <w:sz w:val="36"/>
        </w:rPr>
      </w:pPr>
      <w:r w:rsidRPr="009622FC">
        <w:rPr>
          <w:rFonts w:ascii="Garamond" w:hAnsi="Garamond"/>
          <w:color w:val="auto"/>
          <w:sz w:val="36"/>
        </w:rPr>
        <w:lastRenderedPageBreak/>
        <w:t>Preface</w:t>
      </w:r>
    </w:p>
    <w:p w:rsidR="00B42460" w:rsidRPr="009622FC" w:rsidRDefault="00B42460" w:rsidP="00B42460">
      <w:pPr>
        <w:spacing w:after="0"/>
        <w:rPr>
          <w:rFonts w:ascii="Garamond" w:hAnsi="Garamond"/>
        </w:rPr>
      </w:pPr>
    </w:p>
    <w:p w:rsidR="00B42460" w:rsidRPr="009622FC" w:rsidRDefault="008C13F4" w:rsidP="00B42460">
      <w:pPr>
        <w:spacing w:after="0"/>
        <w:rPr>
          <w:rFonts w:ascii="Garamond" w:hAnsi="Garamond"/>
        </w:rPr>
      </w:pPr>
      <w:r>
        <w:rPr>
          <w:rFonts w:ascii="Garamond" w:hAnsi="Garamond"/>
          <w:lang w:val="en-US"/>
        </w:rPr>
        <w:t>In the name of</w:t>
      </w:r>
      <w:r>
        <w:rPr>
          <w:rFonts w:ascii="Garamond" w:hAnsi="Garamond"/>
        </w:rPr>
        <w:t xml:space="preserve"> </w:t>
      </w:r>
      <w:r>
        <w:rPr>
          <w:rFonts w:ascii="Garamond" w:hAnsi="Garamond"/>
          <w:lang w:val="en-US"/>
        </w:rPr>
        <w:t>t</w:t>
      </w:r>
      <w:r w:rsidR="00B42460" w:rsidRPr="009622FC">
        <w:rPr>
          <w:rFonts w:ascii="Garamond" w:hAnsi="Garamond"/>
        </w:rPr>
        <w:t>ransparency,</w:t>
      </w:r>
    </w:p>
    <w:p w:rsidR="00B42460" w:rsidRPr="009622FC" w:rsidRDefault="00B42460" w:rsidP="00B42460">
      <w:pPr>
        <w:spacing w:after="0"/>
        <w:rPr>
          <w:rFonts w:ascii="Garamond" w:hAnsi="Garamond"/>
        </w:rPr>
      </w:pPr>
    </w:p>
    <w:p w:rsidR="00B42460" w:rsidRPr="009622FC" w:rsidRDefault="00B42460" w:rsidP="00B42460">
      <w:pPr>
        <w:jc w:val="both"/>
        <w:rPr>
          <w:rFonts w:ascii="Garamond" w:hAnsi="Garamond"/>
        </w:rPr>
      </w:pPr>
      <w:r w:rsidRPr="009622FC">
        <w:rPr>
          <w:rFonts w:ascii="Garamond" w:hAnsi="Garamond"/>
        </w:rPr>
        <w:t>The SETAPAK program, which is funded by the United Kingdom Climate Change Unit (UKCCU), aims to improve land and forest governance in Indonesia to support the reduction of Indonesia’s greenhouse gas emissions. This study is part of that effort, as a monitoring instrument developed by civil society to assess and evaluate the process of land and forest governance from a budget perspective.</w:t>
      </w:r>
    </w:p>
    <w:p w:rsidR="00B42460" w:rsidRPr="009622FC" w:rsidRDefault="00B42460" w:rsidP="00B42460">
      <w:pPr>
        <w:spacing w:after="0"/>
        <w:jc w:val="both"/>
        <w:rPr>
          <w:rFonts w:ascii="Garamond" w:hAnsi="Garamond"/>
        </w:rPr>
      </w:pPr>
      <w:r w:rsidRPr="009622FC">
        <w:rPr>
          <w:rFonts w:ascii="Garamond" w:hAnsi="Garamond"/>
        </w:rPr>
        <w:t xml:space="preserve">A budget can be used as an indicator to measure a regional government's commitment and efforts to improve land and forest governance. Most regional revenue is derived from the Natural Resources Profit-Sharing Fund (DBH – SDA), however, policy redistribution through regional spending is mostly allocated for those programs beyond the coverage of environmental sustainability issues. </w:t>
      </w:r>
    </w:p>
    <w:p w:rsidR="00B42460" w:rsidRPr="009622FC" w:rsidRDefault="00B42460" w:rsidP="00B42460">
      <w:pPr>
        <w:spacing w:after="0"/>
        <w:jc w:val="both"/>
        <w:rPr>
          <w:rFonts w:ascii="Garamond" w:hAnsi="Garamond"/>
          <w:lang w:val="en-US"/>
        </w:rPr>
      </w:pPr>
    </w:p>
    <w:p w:rsidR="00B42460" w:rsidRPr="009622FC" w:rsidRDefault="00B42460" w:rsidP="00B42460">
      <w:pPr>
        <w:spacing w:after="0"/>
        <w:jc w:val="both"/>
        <w:rPr>
          <w:rFonts w:ascii="Garamond" w:hAnsi="Garamond"/>
          <w:lang w:val="en-US"/>
        </w:rPr>
      </w:pPr>
      <w:r w:rsidRPr="009622FC">
        <w:rPr>
          <w:rFonts w:ascii="Garamond" w:hAnsi="Garamond"/>
        </w:rPr>
        <w:t>Regional revenue policies that rely on natural resources as their greatest source of revenue will result in an increase in land and forest-based indu</w:t>
      </w:r>
      <w:r w:rsidR="00CB1F88" w:rsidRPr="009622FC">
        <w:rPr>
          <w:rFonts w:ascii="Garamond" w:hAnsi="Garamond"/>
        </w:rPr>
        <w:t>strial activities</w:t>
      </w:r>
      <w:r w:rsidRPr="009622FC">
        <w:rPr>
          <w:rFonts w:ascii="Garamond" w:hAnsi="Garamond"/>
        </w:rPr>
        <w:t>. In add</w:t>
      </w:r>
      <w:r w:rsidR="008C13F4">
        <w:rPr>
          <w:rFonts w:ascii="Garamond" w:hAnsi="Garamond"/>
        </w:rPr>
        <w:t>ition, in the era of decentrali</w:t>
      </w:r>
      <w:r w:rsidR="008C13F4">
        <w:rPr>
          <w:rFonts w:ascii="Garamond" w:hAnsi="Garamond"/>
          <w:lang w:val="en-US"/>
        </w:rPr>
        <w:t>s</w:t>
      </w:r>
      <w:r w:rsidRPr="009622FC">
        <w:rPr>
          <w:rFonts w:ascii="Garamond" w:hAnsi="Garamond"/>
        </w:rPr>
        <w:t xml:space="preserve">ation, there </w:t>
      </w:r>
      <w:r w:rsidR="00CB1F88" w:rsidRPr="009622FC">
        <w:rPr>
          <w:rFonts w:ascii="Garamond" w:hAnsi="Garamond"/>
        </w:rPr>
        <w:t>is the</w:t>
      </w:r>
      <w:r w:rsidRPr="009622FC">
        <w:rPr>
          <w:rFonts w:ascii="Garamond" w:hAnsi="Garamond"/>
        </w:rPr>
        <w:t xml:space="preserve"> phenomenon of </w:t>
      </w:r>
      <w:r w:rsidR="00CB1F88" w:rsidRPr="009622FC">
        <w:rPr>
          <w:rFonts w:ascii="Garamond" w:hAnsi="Garamond"/>
        </w:rPr>
        <w:t>so-called “rich regions”</w:t>
      </w:r>
      <w:r w:rsidRPr="009622FC">
        <w:rPr>
          <w:rFonts w:ascii="Garamond" w:hAnsi="Garamond"/>
        </w:rPr>
        <w:t>, with a connotation of those regio</w:t>
      </w:r>
      <w:r w:rsidR="008C13F4">
        <w:rPr>
          <w:rFonts w:ascii="Garamond" w:hAnsi="Garamond"/>
        </w:rPr>
        <w:t>ns successfully managing, utili</w:t>
      </w:r>
      <w:r w:rsidR="008C13F4">
        <w:rPr>
          <w:rFonts w:ascii="Garamond" w:hAnsi="Garamond"/>
          <w:lang w:val="en-US"/>
        </w:rPr>
        <w:t>s</w:t>
      </w:r>
      <w:r w:rsidRPr="009622FC">
        <w:rPr>
          <w:rFonts w:ascii="Garamond" w:hAnsi="Garamond"/>
        </w:rPr>
        <w:t xml:space="preserve">ing and exploiting their petroleum, coal and forest reserves, thus providing them with a great amount of Profit-Sharing Funds each year. </w:t>
      </w:r>
    </w:p>
    <w:p w:rsidR="00B42460" w:rsidRPr="009622FC" w:rsidRDefault="00B42460" w:rsidP="00B42460">
      <w:pPr>
        <w:spacing w:after="0"/>
        <w:jc w:val="both"/>
        <w:rPr>
          <w:rFonts w:ascii="Garamond" w:hAnsi="Garamond"/>
          <w:lang w:val="en-US"/>
        </w:rPr>
      </w:pPr>
    </w:p>
    <w:p w:rsidR="00B42460" w:rsidRPr="009622FC" w:rsidRDefault="00B42460" w:rsidP="00B42460">
      <w:pPr>
        <w:spacing w:after="0"/>
        <w:jc w:val="both"/>
        <w:rPr>
          <w:rFonts w:ascii="Garamond" w:hAnsi="Garamond"/>
          <w:lang w:val="en-US"/>
        </w:rPr>
      </w:pPr>
      <w:r w:rsidRPr="009622FC">
        <w:rPr>
          <w:rFonts w:ascii="Garamond" w:hAnsi="Garamond"/>
          <w:lang w:val="en-US"/>
        </w:rPr>
        <w:t xml:space="preserve">In the last four years (2009-2012), the government sectors of forestry, spatial zoning and the environment at the provincial and district levels each received an allocation of only 1 percent on average of the total regional expenditure. </w:t>
      </w:r>
      <w:r w:rsidRPr="009622FC">
        <w:rPr>
          <w:rFonts w:ascii="Garamond" w:hAnsi="Garamond"/>
        </w:rPr>
        <w:t xml:space="preserve">This allocation is far smaller than the expenditure on social assistance and grants, with these figures reaching more than 10 percent. </w:t>
      </w:r>
    </w:p>
    <w:p w:rsidR="00B42460" w:rsidRPr="009622FC" w:rsidRDefault="00B42460" w:rsidP="00B42460">
      <w:pPr>
        <w:spacing w:after="0"/>
        <w:jc w:val="both"/>
        <w:rPr>
          <w:rFonts w:ascii="Garamond" w:hAnsi="Garamond"/>
          <w:lang w:val="en-US"/>
        </w:rPr>
      </w:pPr>
    </w:p>
    <w:p w:rsidR="00B42460" w:rsidRPr="009622FC" w:rsidRDefault="00B42460" w:rsidP="00B42460">
      <w:pPr>
        <w:spacing w:after="0"/>
        <w:jc w:val="both"/>
        <w:rPr>
          <w:rFonts w:ascii="Garamond" w:hAnsi="Garamond"/>
        </w:rPr>
      </w:pPr>
      <w:r w:rsidRPr="009622FC">
        <w:rPr>
          <w:rFonts w:ascii="Garamond" w:hAnsi="Garamond"/>
        </w:rPr>
        <w:t xml:space="preserve">Improving budget policy will play a very strategic role in improving the quality of land and forest governance in Indonesia. A responsive revenue policy will contribute to the prevention of excessive exploitation of natural resources. An efficient, effective and appropriately targeted expenditure policy will support attempts to prevent deforestation, promote forest land rehabilitation, and </w:t>
      </w:r>
      <w:r w:rsidR="00427541">
        <w:rPr>
          <w:rFonts w:ascii="Garamond" w:hAnsi="Garamond"/>
        </w:rPr>
        <w:t>prevent exploitation and optimi</w:t>
      </w:r>
      <w:r w:rsidR="00427541">
        <w:rPr>
          <w:rFonts w:ascii="Garamond" w:hAnsi="Garamond"/>
          <w:lang w:val="en-US"/>
        </w:rPr>
        <w:t>s</w:t>
      </w:r>
      <w:r w:rsidRPr="009622FC">
        <w:rPr>
          <w:rFonts w:ascii="Garamond" w:hAnsi="Garamond"/>
        </w:rPr>
        <w:t>ation of plantation production, thereby avoiding any possible new land openings within forest areas.</w:t>
      </w:r>
    </w:p>
    <w:p w:rsidR="00B42460" w:rsidRPr="009622FC" w:rsidRDefault="00B42460" w:rsidP="00B42460">
      <w:pPr>
        <w:spacing w:after="0"/>
        <w:jc w:val="both"/>
        <w:rPr>
          <w:rFonts w:ascii="Garamond" w:hAnsi="Garamond"/>
          <w:lang w:val="en-US"/>
        </w:rPr>
      </w:pPr>
    </w:p>
    <w:p w:rsidR="00B42460" w:rsidRPr="009622FC" w:rsidRDefault="00B42460" w:rsidP="00B42460">
      <w:pPr>
        <w:spacing w:after="0"/>
        <w:jc w:val="both"/>
        <w:rPr>
          <w:rFonts w:ascii="Garamond" w:hAnsi="Garamond"/>
        </w:rPr>
      </w:pPr>
      <w:r w:rsidRPr="009622FC">
        <w:rPr>
          <w:rFonts w:ascii="Garamond" w:hAnsi="Garamond"/>
        </w:rPr>
        <w:t>In drafting this report, we want to express our gratitude and highest appreciation to UKCCU for its support of the SETAPAK program, including this particular study. We would also like to thank the national and local level researchers for their h</w:t>
      </w:r>
      <w:r w:rsidR="00427541">
        <w:rPr>
          <w:rFonts w:ascii="Garamond" w:hAnsi="Garamond"/>
        </w:rPr>
        <w:t>ard work in obtaining and analy</w:t>
      </w:r>
      <w:r w:rsidR="00427541">
        <w:rPr>
          <w:rFonts w:ascii="Garamond" w:hAnsi="Garamond"/>
          <w:lang w:val="en-US"/>
        </w:rPr>
        <w:t>s</w:t>
      </w:r>
      <w:r w:rsidRPr="009622FC">
        <w:rPr>
          <w:rFonts w:ascii="Garamond" w:hAnsi="Garamond"/>
        </w:rPr>
        <w:t xml:space="preserve">ing the data. We hope that this study can be useful in improving land and forest governance in Indonesia. </w:t>
      </w:r>
    </w:p>
    <w:p w:rsidR="00B42460" w:rsidRPr="009622FC" w:rsidRDefault="00B42460" w:rsidP="00B42460">
      <w:pPr>
        <w:spacing w:after="0"/>
        <w:jc w:val="center"/>
        <w:rPr>
          <w:rFonts w:ascii="Garamond" w:hAnsi="Garamond"/>
        </w:rPr>
      </w:pPr>
    </w:p>
    <w:p w:rsidR="00B42460" w:rsidRPr="009622FC" w:rsidRDefault="00B42460" w:rsidP="00B42460">
      <w:pPr>
        <w:spacing w:after="0"/>
        <w:rPr>
          <w:rFonts w:ascii="Garamond" w:hAnsi="Garamond"/>
        </w:rPr>
      </w:pPr>
      <w:r w:rsidRPr="009622FC">
        <w:rPr>
          <w:rFonts w:ascii="Garamond" w:hAnsi="Garamond"/>
        </w:rPr>
        <w:t>Jakarta, December 2013</w:t>
      </w:r>
    </w:p>
    <w:p w:rsidR="00B42460" w:rsidRPr="009622FC" w:rsidRDefault="00B42460" w:rsidP="00B42460">
      <w:pPr>
        <w:spacing w:after="0"/>
        <w:jc w:val="center"/>
        <w:rPr>
          <w:rFonts w:ascii="Garamond" w:hAnsi="Garamond"/>
        </w:rPr>
      </w:pPr>
    </w:p>
    <w:tbl>
      <w:tblPr>
        <w:tblW w:w="0" w:type="auto"/>
        <w:tblLook w:val="04A0"/>
      </w:tblPr>
      <w:tblGrid>
        <w:gridCol w:w="4644"/>
        <w:gridCol w:w="4644"/>
      </w:tblGrid>
      <w:tr w:rsidR="00B42460" w:rsidRPr="009622FC">
        <w:tc>
          <w:tcPr>
            <w:tcW w:w="4644" w:type="dxa"/>
            <w:shd w:val="clear" w:color="auto" w:fill="auto"/>
          </w:tcPr>
          <w:p w:rsidR="00B42460" w:rsidRPr="009622FC" w:rsidRDefault="00B42460" w:rsidP="00B42460">
            <w:pPr>
              <w:spacing w:after="0"/>
              <w:rPr>
                <w:rFonts w:ascii="Garamond" w:hAnsi="Garamond"/>
                <w:b/>
              </w:rPr>
            </w:pPr>
            <w:r w:rsidRPr="009622FC">
              <w:rPr>
                <w:rFonts w:ascii="Garamond" w:hAnsi="Garamond"/>
                <w:b/>
              </w:rPr>
              <w:t>Yenny Sucipto</w:t>
            </w:r>
          </w:p>
          <w:p w:rsidR="00B42460" w:rsidRPr="009622FC" w:rsidRDefault="00B42460" w:rsidP="00B42460">
            <w:pPr>
              <w:spacing w:after="0"/>
              <w:rPr>
                <w:rFonts w:ascii="Garamond" w:hAnsi="Garamond"/>
              </w:rPr>
            </w:pPr>
            <w:r w:rsidRPr="009622FC">
              <w:rPr>
                <w:rFonts w:ascii="Garamond" w:hAnsi="Garamond"/>
              </w:rPr>
              <w:t>Secretary General</w:t>
            </w:r>
          </w:p>
          <w:p w:rsidR="00B42460" w:rsidRPr="009622FC" w:rsidRDefault="00B42460" w:rsidP="00B42460">
            <w:pPr>
              <w:spacing w:after="0"/>
              <w:rPr>
                <w:rFonts w:ascii="Garamond" w:hAnsi="Garamond"/>
              </w:rPr>
            </w:pPr>
            <w:r w:rsidRPr="009622FC">
              <w:rPr>
                <w:rFonts w:ascii="Garamond" w:hAnsi="Garamond"/>
              </w:rPr>
              <w:t>Seknas FITRA</w:t>
            </w:r>
          </w:p>
        </w:tc>
        <w:tc>
          <w:tcPr>
            <w:tcW w:w="4644" w:type="dxa"/>
            <w:shd w:val="clear" w:color="auto" w:fill="auto"/>
          </w:tcPr>
          <w:p w:rsidR="00B42460" w:rsidRPr="009622FC" w:rsidRDefault="00B42460" w:rsidP="00B42460">
            <w:pPr>
              <w:spacing w:after="0"/>
              <w:rPr>
                <w:rFonts w:ascii="Garamond" w:hAnsi="Garamond"/>
              </w:rPr>
            </w:pPr>
            <w:r w:rsidRPr="009622FC">
              <w:rPr>
                <w:rFonts w:ascii="Garamond" w:hAnsi="Garamond"/>
                <w:b/>
              </w:rPr>
              <w:t>Blair Palmer</w:t>
            </w:r>
          </w:p>
          <w:p w:rsidR="00B42460" w:rsidRPr="009622FC" w:rsidRDefault="00B42460" w:rsidP="00B42460">
            <w:pPr>
              <w:spacing w:after="0"/>
              <w:rPr>
                <w:rFonts w:ascii="Garamond" w:hAnsi="Garamond"/>
              </w:rPr>
            </w:pPr>
            <w:r w:rsidRPr="009622FC">
              <w:rPr>
                <w:rFonts w:ascii="Garamond" w:hAnsi="Garamond"/>
              </w:rPr>
              <w:t>Environmental Governance Program Director</w:t>
            </w:r>
          </w:p>
          <w:p w:rsidR="00B42460" w:rsidRPr="009622FC" w:rsidRDefault="00B42460" w:rsidP="00B42460">
            <w:pPr>
              <w:spacing w:after="0"/>
              <w:rPr>
                <w:rFonts w:ascii="Garamond" w:hAnsi="Garamond"/>
              </w:rPr>
            </w:pPr>
            <w:r w:rsidRPr="009622FC">
              <w:rPr>
                <w:rFonts w:ascii="Garamond" w:hAnsi="Garamond"/>
              </w:rPr>
              <w:t>The Asia Foundation</w:t>
            </w:r>
          </w:p>
        </w:tc>
      </w:tr>
    </w:tbl>
    <w:p w:rsidR="00B42460" w:rsidRPr="009622FC" w:rsidRDefault="00B42460" w:rsidP="00B42460">
      <w:pPr>
        <w:spacing w:after="0"/>
        <w:jc w:val="both"/>
        <w:rPr>
          <w:rFonts w:ascii="Garamond" w:hAnsi="Garamond"/>
        </w:rPr>
      </w:pPr>
      <w:r w:rsidRPr="009622FC">
        <w:rPr>
          <w:rFonts w:ascii="Garamond" w:hAnsi="Garamond"/>
        </w:rPr>
        <w:tab/>
      </w:r>
      <w:r w:rsidRPr="009622FC">
        <w:rPr>
          <w:rFonts w:ascii="Garamond" w:hAnsi="Garamond"/>
        </w:rPr>
        <w:tab/>
      </w:r>
      <w:r w:rsidRPr="009622FC">
        <w:rPr>
          <w:rFonts w:ascii="Garamond" w:hAnsi="Garamond"/>
        </w:rPr>
        <w:tab/>
        <w:t xml:space="preserve"> </w:t>
      </w:r>
    </w:p>
    <w:p w:rsidR="00B42460" w:rsidRDefault="00B42460" w:rsidP="00427541">
      <w:pPr>
        <w:pStyle w:val="Heading1"/>
        <w:spacing w:before="0" w:after="0" w:line="276" w:lineRule="auto"/>
        <w:rPr>
          <w:rFonts w:ascii="Garamond" w:hAnsi="Garamond"/>
          <w:color w:val="auto"/>
          <w:sz w:val="36"/>
          <w:szCs w:val="36"/>
          <w:lang w:val="en-US"/>
        </w:rPr>
      </w:pPr>
      <w:r w:rsidRPr="009622FC">
        <w:rPr>
          <w:rFonts w:ascii="Garamond" w:hAnsi="Garamond"/>
          <w:color w:val="auto"/>
          <w:sz w:val="36"/>
          <w:szCs w:val="36"/>
        </w:rPr>
        <w:lastRenderedPageBreak/>
        <w:t>Acknowledgments</w:t>
      </w:r>
    </w:p>
    <w:p w:rsidR="00427541" w:rsidRPr="00427541" w:rsidRDefault="00427541" w:rsidP="00427541">
      <w:pPr>
        <w:spacing w:after="0"/>
        <w:rPr>
          <w:lang w:val="en-US" w:bidi="ar-SA"/>
        </w:rPr>
      </w:pPr>
    </w:p>
    <w:p w:rsidR="00B42460" w:rsidRPr="009622FC" w:rsidRDefault="00CB1F88" w:rsidP="00B42460">
      <w:pPr>
        <w:autoSpaceDE w:val="0"/>
        <w:autoSpaceDN w:val="0"/>
        <w:adjustRightInd w:val="0"/>
        <w:spacing w:after="0"/>
        <w:jc w:val="both"/>
        <w:rPr>
          <w:rFonts w:ascii="Garamond" w:hAnsi="Garamond"/>
        </w:rPr>
      </w:pPr>
      <w:r w:rsidRPr="009622FC">
        <w:rPr>
          <w:rFonts w:ascii="Garamond" w:hAnsi="Garamond"/>
          <w:color w:val="3D3938"/>
        </w:rPr>
        <w:t xml:space="preserve">This </w:t>
      </w:r>
      <w:r w:rsidR="00B42460" w:rsidRPr="009622FC">
        <w:rPr>
          <w:rFonts w:ascii="Garamond" w:hAnsi="Garamond"/>
          <w:color w:val="3D3938"/>
        </w:rPr>
        <w:t>report is the result of cooperation between Seknas FITRA and The Asia Foun</w:t>
      </w:r>
      <w:r w:rsidR="005A6A29">
        <w:rPr>
          <w:rFonts w:ascii="Garamond" w:hAnsi="Garamond"/>
          <w:color w:val="3D3938"/>
        </w:rPr>
        <w:t xml:space="preserve">dation. The Seknas FITRA team </w:t>
      </w:r>
      <w:r w:rsidR="005A6A29">
        <w:rPr>
          <w:rFonts w:ascii="Garamond" w:hAnsi="Garamond"/>
          <w:color w:val="3D3938"/>
          <w:lang w:val="en-US"/>
        </w:rPr>
        <w:t>was</w:t>
      </w:r>
      <w:r w:rsidR="00B42460" w:rsidRPr="009622FC">
        <w:rPr>
          <w:rFonts w:ascii="Garamond" w:hAnsi="Garamond"/>
          <w:color w:val="3D3938"/>
        </w:rPr>
        <w:t xml:space="preserve"> coordinated by Hadi Prayitno and its members include</w:t>
      </w:r>
      <w:r w:rsidR="005A6A29">
        <w:rPr>
          <w:rFonts w:ascii="Garamond" w:hAnsi="Garamond"/>
          <w:color w:val="3D3938"/>
          <w:lang w:val="en-US"/>
        </w:rPr>
        <w:t>d</w:t>
      </w:r>
      <w:r w:rsidR="00B42460" w:rsidRPr="009622FC">
        <w:rPr>
          <w:rFonts w:ascii="Garamond" w:hAnsi="Garamond"/>
          <w:color w:val="3D3938"/>
        </w:rPr>
        <w:t xml:space="preserve"> Ahmad Taufik and Rizka Fitriy</w:t>
      </w:r>
      <w:r w:rsidR="005A6A29">
        <w:rPr>
          <w:rFonts w:ascii="Garamond" w:hAnsi="Garamond"/>
          <w:color w:val="3D3938"/>
        </w:rPr>
        <w:t xml:space="preserve">ani. The Asia Foundation team </w:t>
      </w:r>
      <w:r w:rsidR="005A6A29">
        <w:rPr>
          <w:rFonts w:ascii="Garamond" w:hAnsi="Garamond"/>
          <w:color w:val="3D3938"/>
          <w:lang w:val="en-US"/>
        </w:rPr>
        <w:t>was</w:t>
      </w:r>
      <w:r w:rsidR="00B42460" w:rsidRPr="009622FC">
        <w:rPr>
          <w:rFonts w:ascii="Garamond" w:hAnsi="Garamond"/>
          <w:color w:val="3D3938"/>
        </w:rPr>
        <w:t xml:space="preserve"> coordinated by Blair Palmer with members including R. Alam Surya Putra and Ade Cahyat. </w:t>
      </w:r>
    </w:p>
    <w:p w:rsidR="00B42460" w:rsidRPr="009622FC" w:rsidRDefault="00B42460" w:rsidP="00B42460">
      <w:pPr>
        <w:autoSpaceDE w:val="0"/>
        <w:autoSpaceDN w:val="0"/>
        <w:adjustRightInd w:val="0"/>
        <w:spacing w:after="0"/>
        <w:rPr>
          <w:rFonts w:ascii="Garamond" w:hAnsi="Garamond"/>
          <w:color w:val="3D3938"/>
        </w:rPr>
      </w:pPr>
    </w:p>
    <w:p w:rsidR="00B42460" w:rsidRPr="009622FC" w:rsidRDefault="00B42460" w:rsidP="00B42460">
      <w:pPr>
        <w:autoSpaceDE w:val="0"/>
        <w:autoSpaceDN w:val="0"/>
        <w:adjustRightInd w:val="0"/>
        <w:spacing w:after="0"/>
        <w:rPr>
          <w:rFonts w:ascii="Garamond" w:hAnsi="Garamond"/>
          <w:color w:val="3D3938"/>
        </w:rPr>
      </w:pPr>
      <w:r w:rsidRPr="009622FC">
        <w:rPr>
          <w:rFonts w:ascii="Garamond" w:hAnsi="Garamond"/>
          <w:color w:val="3D3938"/>
        </w:rPr>
        <w:t>This report was prepared based on the results of field research conducted by local researchers  fro</w:t>
      </w:r>
      <w:r w:rsidR="005A6A29">
        <w:rPr>
          <w:rFonts w:ascii="Garamond" w:hAnsi="Garamond"/>
          <w:color w:val="3D3938"/>
        </w:rPr>
        <w:t>m about 10 civil society organi</w:t>
      </w:r>
      <w:r w:rsidR="005A6A29">
        <w:rPr>
          <w:rFonts w:ascii="Garamond" w:hAnsi="Garamond"/>
          <w:color w:val="3D3938"/>
          <w:lang w:val="en-US"/>
        </w:rPr>
        <w:t>s</w:t>
      </w:r>
      <w:r w:rsidRPr="009622FC">
        <w:rPr>
          <w:rFonts w:ascii="Garamond" w:hAnsi="Garamond"/>
          <w:color w:val="3D3938"/>
        </w:rPr>
        <w:t xml:space="preserve">ations, comprising: </w:t>
      </w:r>
    </w:p>
    <w:p w:rsidR="00B42460" w:rsidRPr="009622FC" w:rsidRDefault="00B42460" w:rsidP="00B42460">
      <w:pPr>
        <w:pStyle w:val="ListParagraph"/>
        <w:numPr>
          <w:ilvl w:val="0"/>
          <w:numId w:val="34"/>
        </w:numPr>
        <w:autoSpaceDE w:val="0"/>
        <w:autoSpaceDN w:val="0"/>
        <w:adjustRightInd w:val="0"/>
        <w:spacing w:after="0"/>
        <w:rPr>
          <w:rFonts w:ascii="Garamond" w:hAnsi="Garamond"/>
          <w:color w:val="3D3938"/>
        </w:rPr>
      </w:pPr>
      <w:r w:rsidRPr="009622FC">
        <w:rPr>
          <w:rFonts w:ascii="Garamond" w:hAnsi="Garamond"/>
          <w:i/>
          <w:color w:val="3D3938"/>
        </w:rPr>
        <w:t xml:space="preserve">South Sumatra </w:t>
      </w:r>
      <w:r w:rsidRPr="009622FC">
        <w:rPr>
          <w:rFonts w:ascii="Garamond" w:hAnsi="Garamond"/>
          <w:color w:val="3D3938"/>
        </w:rPr>
        <w:t>: Nunik Handayani, Eli Mailiana, Sumarni (</w:t>
      </w:r>
      <w:r w:rsidR="00CB1F88" w:rsidRPr="009622FC">
        <w:rPr>
          <w:rFonts w:ascii="Garamond" w:hAnsi="Garamond"/>
          <w:color w:val="3D3938"/>
        </w:rPr>
        <w:t xml:space="preserve">FITRA </w:t>
      </w:r>
      <w:r w:rsidRPr="009622FC">
        <w:rPr>
          <w:rFonts w:ascii="Garamond" w:hAnsi="Garamond"/>
          <w:color w:val="3D3938"/>
        </w:rPr>
        <w:t>South Sumatra), Basyir, Anton (Wahana Bumi Hijau), Ade Ramayeni, Yogi (Pilar Nusantara);</w:t>
      </w:r>
    </w:p>
    <w:p w:rsidR="00B42460" w:rsidRPr="009622FC" w:rsidRDefault="00B42460" w:rsidP="00B42460">
      <w:pPr>
        <w:pStyle w:val="ListParagraph"/>
        <w:numPr>
          <w:ilvl w:val="0"/>
          <w:numId w:val="34"/>
        </w:numPr>
        <w:autoSpaceDE w:val="0"/>
        <w:autoSpaceDN w:val="0"/>
        <w:adjustRightInd w:val="0"/>
        <w:spacing w:after="0"/>
        <w:rPr>
          <w:rFonts w:ascii="Garamond" w:hAnsi="Garamond"/>
          <w:color w:val="3D3938"/>
        </w:rPr>
      </w:pPr>
      <w:r w:rsidRPr="009622FC">
        <w:rPr>
          <w:rFonts w:ascii="Garamond" w:hAnsi="Garamond"/>
          <w:i/>
          <w:color w:val="3D3938"/>
        </w:rPr>
        <w:t>West Kalimantan</w:t>
      </w:r>
      <w:r w:rsidRPr="009622FC">
        <w:rPr>
          <w:rFonts w:ascii="Garamond" w:hAnsi="Garamond"/>
          <w:color w:val="3D3938"/>
        </w:rPr>
        <w:t xml:space="preserve"> : Liem Keng Sia, Didik Supriyatno, Ngusmanto (Fakta), Yongky Yob Yosafat, Fredy Dulhadi (Jari Borneo Barat), Endang Kusmiyati, Dea Ishadi (Titian);</w:t>
      </w:r>
    </w:p>
    <w:p w:rsidR="00B42460" w:rsidRPr="009622FC" w:rsidRDefault="00B42460" w:rsidP="00B42460">
      <w:pPr>
        <w:pStyle w:val="ListParagraph"/>
        <w:numPr>
          <w:ilvl w:val="0"/>
          <w:numId w:val="34"/>
        </w:numPr>
        <w:autoSpaceDE w:val="0"/>
        <w:autoSpaceDN w:val="0"/>
        <w:adjustRightInd w:val="0"/>
        <w:spacing w:after="0"/>
        <w:rPr>
          <w:rFonts w:ascii="Garamond" w:hAnsi="Garamond"/>
          <w:color w:val="3D3938"/>
        </w:rPr>
      </w:pPr>
      <w:r w:rsidRPr="009622FC">
        <w:rPr>
          <w:rFonts w:ascii="Garamond" w:hAnsi="Garamond"/>
          <w:i/>
          <w:color w:val="3D3938"/>
        </w:rPr>
        <w:t>East Kalimantan</w:t>
      </w:r>
      <w:r w:rsidRPr="009622FC">
        <w:rPr>
          <w:rFonts w:ascii="Garamond" w:hAnsi="Garamond"/>
          <w:color w:val="3D3938"/>
        </w:rPr>
        <w:t xml:space="preserve"> : Ramlianur, Buyung Marajo, Burhanuddin (Pokja 30).</w:t>
      </w:r>
    </w:p>
    <w:p w:rsidR="00B42460" w:rsidRPr="009622FC" w:rsidRDefault="00B42460" w:rsidP="00B42460">
      <w:pPr>
        <w:pStyle w:val="ListParagraph"/>
        <w:autoSpaceDE w:val="0"/>
        <w:autoSpaceDN w:val="0"/>
        <w:adjustRightInd w:val="0"/>
        <w:spacing w:after="0"/>
        <w:rPr>
          <w:rFonts w:ascii="Garamond" w:hAnsi="Garamond"/>
          <w:color w:val="3D3938"/>
        </w:rPr>
      </w:pPr>
      <w:r w:rsidRPr="009622FC">
        <w:rPr>
          <w:rFonts w:ascii="Garamond" w:hAnsi="Garamond"/>
          <w:color w:val="3D3938"/>
        </w:rPr>
        <w:t xml:space="preserve">  </w:t>
      </w:r>
    </w:p>
    <w:p w:rsidR="00B42460" w:rsidRPr="009622FC" w:rsidRDefault="00B42460" w:rsidP="00B42460">
      <w:pPr>
        <w:autoSpaceDE w:val="0"/>
        <w:autoSpaceDN w:val="0"/>
        <w:adjustRightInd w:val="0"/>
        <w:spacing w:after="0"/>
        <w:jc w:val="both"/>
        <w:rPr>
          <w:rFonts w:ascii="Garamond" w:hAnsi="Garamond"/>
          <w:color w:val="3D3938"/>
        </w:rPr>
      </w:pPr>
      <w:r w:rsidRPr="009622FC">
        <w:rPr>
          <w:rFonts w:ascii="Garamond" w:hAnsi="Garamond"/>
          <w:color w:val="3D3938"/>
        </w:rPr>
        <w:t xml:space="preserve">The analysis and report drafting processes were performed jointly by Hadi Prayitno, Ahmad Taufik and Rizka Fitriyani (Seknas FITRA), and R. Alam Surya Putra (The Asia Foundation). Finally, it was edited by R. Alam Surya Putra. </w:t>
      </w:r>
    </w:p>
    <w:p w:rsidR="00B42460" w:rsidRPr="009622FC" w:rsidRDefault="00B42460" w:rsidP="00B42460">
      <w:pPr>
        <w:autoSpaceDE w:val="0"/>
        <w:autoSpaceDN w:val="0"/>
        <w:adjustRightInd w:val="0"/>
        <w:spacing w:after="0"/>
        <w:rPr>
          <w:rFonts w:ascii="Garamond" w:hAnsi="Garamond"/>
          <w:color w:val="3D3938"/>
        </w:rPr>
      </w:pPr>
    </w:p>
    <w:p w:rsidR="00B42460" w:rsidRPr="005A6A29" w:rsidRDefault="00B42460" w:rsidP="00B42460">
      <w:pPr>
        <w:autoSpaceDE w:val="0"/>
        <w:autoSpaceDN w:val="0"/>
        <w:adjustRightInd w:val="0"/>
        <w:spacing w:after="0"/>
        <w:jc w:val="both"/>
        <w:rPr>
          <w:rFonts w:ascii="Garamond" w:hAnsi="Garamond"/>
          <w:color w:val="3D3938"/>
          <w:lang w:val="en-US"/>
        </w:rPr>
      </w:pPr>
      <w:r w:rsidRPr="009622FC">
        <w:rPr>
          <w:rFonts w:ascii="Garamond" w:hAnsi="Garamond"/>
          <w:color w:val="3D3938"/>
        </w:rPr>
        <w:t>We would also like to thank Blair Palmer, Erman Rahman, Frans Siahaan, Prayekti Murharjanti, Ridwan and Chitra Hariyadi who gave their re</w:t>
      </w:r>
      <w:r w:rsidR="00CB1F88" w:rsidRPr="009622FC">
        <w:rPr>
          <w:rFonts w:ascii="Garamond" w:hAnsi="Garamond"/>
          <w:color w:val="3D3938"/>
        </w:rPr>
        <w:t>views, feedback and criticism on</w:t>
      </w:r>
      <w:r w:rsidRPr="009622FC">
        <w:rPr>
          <w:rFonts w:ascii="Garamond" w:hAnsi="Garamond"/>
          <w:color w:val="3D3938"/>
        </w:rPr>
        <w:t xml:space="preserve"> this report. Dorta Pardede and Ki</w:t>
      </w:r>
      <w:r w:rsidR="00CB1F88" w:rsidRPr="009622FC">
        <w:rPr>
          <w:rFonts w:ascii="Garamond" w:hAnsi="Garamond"/>
          <w:color w:val="3D3938"/>
        </w:rPr>
        <w:t>ki Tobing also contributed much</w:t>
      </w:r>
      <w:r w:rsidRPr="009622FC">
        <w:rPr>
          <w:rFonts w:ascii="Garamond" w:hAnsi="Garamond"/>
          <w:color w:val="3D3938"/>
        </w:rPr>
        <w:t xml:space="preserve"> to</w:t>
      </w:r>
      <w:r w:rsidR="005A6A29">
        <w:rPr>
          <w:rFonts w:ascii="Garamond" w:hAnsi="Garamond"/>
          <w:color w:val="3D3938"/>
          <w:lang w:val="en-US"/>
        </w:rPr>
        <w:t xml:space="preserve"> its</w:t>
      </w:r>
      <w:r w:rsidR="005A6A29">
        <w:rPr>
          <w:rFonts w:ascii="Garamond" w:hAnsi="Garamond"/>
          <w:color w:val="3D3938"/>
        </w:rPr>
        <w:t xml:space="preserve"> printing and publi</w:t>
      </w:r>
      <w:r w:rsidR="005A6A29">
        <w:rPr>
          <w:rFonts w:ascii="Garamond" w:hAnsi="Garamond"/>
          <w:color w:val="3D3938"/>
          <w:lang w:val="en-US"/>
        </w:rPr>
        <w:t>cation.</w:t>
      </w:r>
    </w:p>
    <w:p w:rsidR="00B42460" w:rsidRPr="009622FC" w:rsidRDefault="00B42460" w:rsidP="00B42460">
      <w:pPr>
        <w:autoSpaceDE w:val="0"/>
        <w:autoSpaceDN w:val="0"/>
        <w:adjustRightInd w:val="0"/>
        <w:spacing w:after="0"/>
        <w:rPr>
          <w:rFonts w:ascii="Garamond" w:hAnsi="Garamond"/>
        </w:rPr>
      </w:pPr>
    </w:p>
    <w:p w:rsidR="00B42460" w:rsidRPr="009622FC" w:rsidRDefault="00B42460" w:rsidP="00B42460">
      <w:pPr>
        <w:autoSpaceDE w:val="0"/>
        <w:autoSpaceDN w:val="0"/>
        <w:adjustRightInd w:val="0"/>
        <w:spacing w:after="0"/>
        <w:rPr>
          <w:rFonts w:ascii="Garamond" w:hAnsi="Garamond"/>
        </w:rPr>
      </w:pPr>
      <w:r w:rsidRPr="009622FC">
        <w:rPr>
          <w:rFonts w:ascii="Garamond" w:hAnsi="Garamond"/>
        </w:rPr>
        <w:t xml:space="preserve">This </w:t>
      </w:r>
      <w:r w:rsidR="005A6A29">
        <w:rPr>
          <w:rFonts w:ascii="Garamond" w:hAnsi="Garamond"/>
          <w:lang w:val="en-US"/>
        </w:rPr>
        <w:t>report</w:t>
      </w:r>
      <w:r w:rsidRPr="009622FC">
        <w:rPr>
          <w:rFonts w:ascii="Garamond" w:hAnsi="Garamond"/>
        </w:rPr>
        <w:t xml:space="preserve"> was</w:t>
      </w:r>
      <w:r w:rsidR="008B6CAB">
        <w:rPr>
          <w:rFonts w:ascii="Garamond" w:hAnsi="Garamond"/>
          <w:lang w:val="en-US"/>
        </w:rPr>
        <w:t xml:space="preserve"> undertaken</w:t>
      </w:r>
      <w:r w:rsidRPr="009622FC">
        <w:rPr>
          <w:rFonts w:ascii="Garamond" w:hAnsi="Garamond"/>
        </w:rPr>
        <w:t xml:space="preserve"> with the support of the United Kingdom Climate Change Unit (UKCCU). However, the opinions, findings, interpretations and conclusions in this report are </w:t>
      </w:r>
      <w:r w:rsidR="008B6CAB">
        <w:rPr>
          <w:rFonts w:ascii="Garamond" w:hAnsi="Garamond"/>
          <w:lang w:val="en-US"/>
        </w:rPr>
        <w:t xml:space="preserve">solely </w:t>
      </w:r>
      <w:r w:rsidRPr="009622FC">
        <w:rPr>
          <w:rFonts w:ascii="Garamond" w:hAnsi="Garamond"/>
        </w:rPr>
        <w:t xml:space="preserve">the views of civil groups and </w:t>
      </w:r>
      <w:r w:rsidR="008B6CAB">
        <w:rPr>
          <w:rFonts w:ascii="Garamond" w:hAnsi="Garamond"/>
          <w:lang w:val="en-US"/>
        </w:rPr>
        <w:t xml:space="preserve">do </w:t>
      </w:r>
      <w:r w:rsidRPr="009622FC">
        <w:rPr>
          <w:rFonts w:ascii="Garamond" w:hAnsi="Garamond"/>
        </w:rPr>
        <w:t xml:space="preserve">not </w:t>
      </w:r>
      <w:r w:rsidR="008B6CAB">
        <w:rPr>
          <w:rFonts w:ascii="Garamond" w:hAnsi="Garamond"/>
          <w:lang w:val="en-US"/>
        </w:rPr>
        <w:t xml:space="preserve"> represent </w:t>
      </w:r>
      <w:r w:rsidRPr="009622FC">
        <w:rPr>
          <w:rFonts w:ascii="Garamond" w:hAnsi="Garamond"/>
        </w:rPr>
        <w:t xml:space="preserve">the views of The Asia Foundation or UKCCU. </w:t>
      </w:r>
    </w:p>
    <w:p w:rsidR="005A0E07" w:rsidRPr="009622FC" w:rsidRDefault="005A0E07" w:rsidP="00B42460">
      <w:pPr>
        <w:autoSpaceDE w:val="0"/>
        <w:autoSpaceDN w:val="0"/>
        <w:adjustRightInd w:val="0"/>
        <w:spacing w:after="0"/>
        <w:rPr>
          <w:rFonts w:ascii="Garamond" w:hAnsi="Garamond"/>
        </w:rPr>
        <w:sectPr w:rsidR="005A0E07" w:rsidRPr="009622FC">
          <w:footerReference w:type="even" r:id="rId10"/>
          <w:footerReference w:type="default" r:id="rId11"/>
          <w:footerReference w:type="first" r:id="rId12"/>
          <w:pgSz w:w="11907" w:h="16840" w:code="9"/>
          <w:pgMar w:top="1134" w:right="1134" w:bottom="1134" w:left="1701" w:header="720" w:footer="720" w:gutter="0"/>
          <w:pgNumType w:fmt="lowerRoman" w:start="1"/>
          <w:cols w:space="720"/>
          <w:titlePg/>
          <w:docGrid w:linePitch="360"/>
        </w:sectPr>
      </w:pPr>
    </w:p>
    <w:p w:rsidR="00B42460" w:rsidRPr="009622FC" w:rsidRDefault="00B42460" w:rsidP="00B42460">
      <w:pPr>
        <w:autoSpaceDE w:val="0"/>
        <w:autoSpaceDN w:val="0"/>
        <w:adjustRightInd w:val="0"/>
        <w:spacing w:after="0"/>
        <w:rPr>
          <w:rFonts w:ascii="Garamond" w:hAnsi="Garamond"/>
        </w:rPr>
      </w:pPr>
    </w:p>
    <w:p w:rsidR="00B42460" w:rsidRPr="009622FC" w:rsidRDefault="00B42460" w:rsidP="00B42460">
      <w:pPr>
        <w:autoSpaceDE w:val="0"/>
        <w:autoSpaceDN w:val="0"/>
        <w:adjustRightInd w:val="0"/>
        <w:spacing w:after="0"/>
        <w:rPr>
          <w:rFonts w:ascii="Garamond" w:eastAsia="Times New Roman" w:hAnsi="Garamond"/>
          <w:b/>
          <w:bCs/>
          <w:sz w:val="36"/>
          <w:szCs w:val="36"/>
          <w:lang w:val="en-US"/>
        </w:rPr>
      </w:pPr>
      <w:r w:rsidRPr="009622FC">
        <w:rPr>
          <w:rFonts w:ascii="Garamond" w:eastAsia="Times New Roman" w:hAnsi="Garamond"/>
          <w:b/>
          <w:bCs/>
          <w:sz w:val="36"/>
          <w:szCs w:val="36"/>
          <w:lang w:val="en-US"/>
        </w:rPr>
        <w:t>Part I</w:t>
      </w:r>
    </w:p>
    <w:p w:rsidR="00B42460" w:rsidRPr="009622FC" w:rsidRDefault="00B42460" w:rsidP="00B42460">
      <w:pPr>
        <w:rPr>
          <w:rFonts w:ascii="Garamond" w:eastAsia="Times New Roman" w:hAnsi="Garamond"/>
          <w:b/>
          <w:bCs/>
          <w:sz w:val="36"/>
          <w:szCs w:val="36"/>
          <w:lang w:val="en-US"/>
        </w:rPr>
      </w:pPr>
      <w:r w:rsidRPr="009622FC">
        <w:rPr>
          <w:rFonts w:ascii="Garamond" w:eastAsia="Times New Roman" w:hAnsi="Garamond"/>
          <w:b/>
          <w:bCs/>
          <w:sz w:val="36"/>
          <w:szCs w:val="36"/>
          <w:lang w:val="en-US"/>
        </w:rPr>
        <w:t>Building an Analytical Framework for Regional Budget Policies on Land and Forest Governance in Indonesia</w:t>
      </w:r>
    </w:p>
    <w:p w:rsidR="00B42460" w:rsidRPr="009622FC" w:rsidRDefault="00B42460" w:rsidP="00B42460">
      <w:pPr>
        <w:pStyle w:val="ListParagraph"/>
        <w:numPr>
          <w:ilvl w:val="1"/>
          <w:numId w:val="30"/>
        </w:numPr>
        <w:rPr>
          <w:rFonts w:ascii="Garamond" w:hAnsi="Garamond"/>
          <w:b/>
          <w:u w:val="single"/>
          <w:lang w:val="en-US"/>
        </w:rPr>
      </w:pPr>
      <w:r w:rsidRPr="009622FC">
        <w:rPr>
          <w:rFonts w:ascii="Garamond" w:hAnsi="Garamond"/>
          <w:b/>
          <w:u w:val="single"/>
        </w:rPr>
        <w:t xml:space="preserve">Introduction </w:t>
      </w:r>
    </w:p>
    <w:p w:rsidR="00B42460" w:rsidRPr="009622FC" w:rsidRDefault="0046676B" w:rsidP="00B42460">
      <w:pPr>
        <w:jc w:val="both"/>
        <w:rPr>
          <w:rFonts w:ascii="Garamond" w:hAnsi="Garamond"/>
        </w:rPr>
      </w:pPr>
      <w:r>
        <w:rPr>
          <w:rFonts w:ascii="Garamond" w:hAnsi="Garamond"/>
          <w:b/>
        </w:rPr>
        <w:t>Decentrali</w:t>
      </w:r>
      <w:r>
        <w:rPr>
          <w:rFonts w:ascii="Garamond" w:hAnsi="Garamond"/>
          <w:b/>
          <w:lang w:val="en-US"/>
        </w:rPr>
        <w:t>s</w:t>
      </w:r>
      <w:r w:rsidR="00B42460" w:rsidRPr="009622FC">
        <w:rPr>
          <w:rFonts w:ascii="Garamond" w:hAnsi="Garamond"/>
          <w:b/>
        </w:rPr>
        <w:t>ation has created new challenges for the management of natural resources and the environment in the regions.</w:t>
      </w:r>
      <w:r>
        <w:rPr>
          <w:rFonts w:ascii="Garamond" w:hAnsi="Garamond"/>
        </w:rPr>
        <w:t xml:space="preserve"> Decentrali</w:t>
      </w:r>
      <w:r>
        <w:rPr>
          <w:rFonts w:ascii="Garamond" w:hAnsi="Garamond"/>
          <w:lang w:val="en-US"/>
        </w:rPr>
        <w:t>s</w:t>
      </w:r>
      <w:r w:rsidR="00B42460" w:rsidRPr="009622FC">
        <w:rPr>
          <w:rFonts w:ascii="Garamond" w:hAnsi="Garamond"/>
        </w:rPr>
        <w:t xml:space="preserve">ation </w:t>
      </w:r>
      <w:r w:rsidR="00194B37" w:rsidRPr="009622FC">
        <w:rPr>
          <w:rFonts w:ascii="Garamond" w:hAnsi="Garamond"/>
        </w:rPr>
        <w:t>depends on the</w:t>
      </w:r>
      <w:r w:rsidR="00B42460" w:rsidRPr="009622FC">
        <w:rPr>
          <w:rFonts w:ascii="Garamond" w:hAnsi="Garamond"/>
        </w:rPr>
        <w:t xml:space="preserve"> varied capacities of regional leaders with all kinds of interests in managing natural resources and hum</w:t>
      </w:r>
      <w:r w:rsidR="00194B37" w:rsidRPr="009622FC">
        <w:rPr>
          <w:rFonts w:ascii="Garamond" w:hAnsi="Garamond"/>
        </w:rPr>
        <w:t xml:space="preserve">an activity. The World Bank </w:t>
      </w:r>
      <w:r w:rsidR="00B42460" w:rsidRPr="009622FC">
        <w:rPr>
          <w:rFonts w:ascii="Garamond" w:hAnsi="Garamond"/>
        </w:rPr>
        <w:t xml:space="preserve">holds the view that the </w:t>
      </w:r>
      <w:r w:rsidR="00194B37" w:rsidRPr="009622FC">
        <w:rPr>
          <w:rFonts w:ascii="Garamond" w:hAnsi="Garamond"/>
        </w:rPr>
        <w:t xml:space="preserve">varied capacities and institutional visions of the regions are some of the </w:t>
      </w:r>
      <w:r w:rsidR="00B42460" w:rsidRPr="009622FC">
        <w:rPr>
          <w:rFonts w:ascii="Garamond" w:hAnsi="Garamond"/>
        </w:rPr>
        <w:t>main cha</w:t>
      </w:r>
      <w:r>
        <w:rPr>
          <w:rFonts w:ascii="Garamond" w:hAnsi="Garamond"/>
        </w:rPr>
        <w:t>llenges faced in the decentrali</w:t>
      </w:r>
      <w:r>
        <w:rPr>
          <w:rFonts w:ascii="Garamond" w:hAnsi="Garamond"/>
          <w:lang w:val="en-US"/>
        </w:rPr>
        <w:t>s</w:t>
      </w:r>
      <w:r w:rsidR="00B42460" w:rsidRPr="009622FC">
        <w:rPr>
          <w:rFonts w:ascii="Garamond" w:hAnsi="Garamond"/>
        </w:rPr>
        <w:t>ation era</w:t>
      </w:r>
      <w:r w:rsidR="00194B37" w:rsidRPr="009622FC">
        <w:rPr>
          <w:rFonts w:ascii="Garamond" w:hAnsi="Garamond"/>
        </w:rPr>
        <w:t xml:space="preserve">, as well as </w:t>
      </w:r>
      <w:r w:rsidR="00B42460" w:rsidRPr="009622FC">
        <w:rPr>
          <w:rFonts w:ascii="Garamond" w:hAnsi="Garamond"/>
        </w:rPr>
        <w:t>the appropriate use of incentives, and a minimum of standards, enforcement and assistance from the central government</w:t>
      </w:r>
      <w:r w:rsidR="009622FC">
        <w:rPr>
          <w:rFonts w:ascii="Garamond" w:hAnsi="Garamond"/>
          <w:lang w:val="en-US"/>
        </w:rPr>
        <w:t>.</w:t>
      </w:r>
      <w:r w:rsidR="00B42460" w:rsidRPr="009622FC">
        <w:rPr>
          <w:rStyle w:val="FootnoteReference"/>
          <w:rFonts w:ascii="Garamond" w:hAnsi="Garamond"/>
          <w:lang w:val="en-US"/>
        </w:rPr>
        <w:footnoteReference w:id="1"/>
      </w:r>
      <w:r w:rsidR="00B42460" w:rsidRPr="009622FC">
        <w:rPr>
          <w:rFonts w:ascii="Garamond" w:hAnsi="Garamond"/>
        </w:rPr>
        <w:t xml:space="preserve"> </w:t>
      </w:r>
    </w:p>
    <w:p w:rsidR="00B42460" w:rsidRPr="009622FC" w:rsidRDefault="00B42460" w:rsidP="00B42460">
      <w:pPr>
        <w:jc w:val="both"/>
        <w:rPr>
          <w:rFonts w:ascii="Garamond" w:hAnsi="Garamond"/>
          <w:lang w:val="en-US"/>
        </w:rPr>
      </w:pPr>
      <w:r w:rsidRPr="009622FC">
        <w:rPr>
          <w:rFonts w:ascii="Garamond" w:hAnsi="Garamond"/>
          <w:b/>
        </w:rPr>
        <w:t>Corruption is another important challenge face</w:t>
      </w:r>
      <w:r w:rsidR="0046676B">
        <w:rPr>
          <w:rFonts w:ascii="Garamond" w:hAnsi="Garamond"/>
          <w:b/>
        </w:rPr>
        <w:t>d by Indonesia under decentrali</w:t>
      </w:r>
      <w:r w:rsidR="0046676B">
        <w:rPr>
          <w:rFonts w:ascii="Garamond" w:hAnsi="Garamond"/>
          <w:b/>
          <w:lang w:val="en-US"/>
        </w:rPr>
        <w:t>s</w:t>
      </w:r>
      <w:r w:rsidRPr="009622FC">
        <w:rPr>
          <w:rFonts w:ascii="Garamond" w:hAnsi="Garamond"/>
          <w:b/>
        </w:rPr>
        <w:t xml:space="preserve">ation. </w:t>
      </w:r>
      <w:r w:rsidRPr="009622FC">
        <w:rPr>
          <w:rFonts w:ascii="Garamond" w:hAnsi="Garamond"/>
        </w:rPr>
        <w:t xml:space="preserve">The numerous corruption cases involving officials at the regional level indicate that the center of corrupt practices has moved along with the greater authority given to regional governments. </w:t>
      </w:r>
      <w:r w:rsidR="00194B37" w:rsidRPr="009622FC">
        <w:rPr>
          <w:rFonts w:ascii="Garamond" w:hAnsi="Garamond"/>
        </w:rPr>
        <w:t>The Center for International Forestry Research (</w:t>
      </w:r>
      <w:r w:rsidRPr="009622FC">
        <w:rPr>
          <w:rFonts w:ascii="Garamond" w:hAnsi="Garamond"/>
        </w:rPr>
        <w:t>CIFOR</w:t>
      </w:r>
      <w:r w:rsidR="00194B37" w:rsidRPr="009622FC">
        <w:rPr>
          <w:rFonts w:ascii="Garamond" w:hAnsi="Garamond"/>
        </w:rPr>
        <w:t>)</w:t>
      </w:r>
      <w:r w:rsidRPr="009622FC">
        <w:rPr>
          <w:rFonts w:ascii="Garamond" w:hAnsi="Garamond"/>
        </w:rPr>
        <w:t xml:space="preserve"> suggests that the problem of corruption in the natural resources sector (particularly in the misuse of reforestation fu</w:t>
      </w:r>
      <w:r w:rsidR="0046676B">
        <w:rPr>
          <w:rFonts w:ascii="Garamond" w:hAnsi="Garamond"/>
        </w:rPr>
        <w:t>nds) has become more decentrali</w:t>
      </w:r>
      <w:r w:rsidR="0046676B">
        <w:rPr>
          <w:rFonts w:ascii="Garamond" w:hAnsi="Garamond"/>
          <w:lang w:val="en-US"/>
        </w:rPr>
        <w:t>s</w:t>
      </w:r>
      <w:r w:rsidRPr="009622FC">
        <w:rPr>
          <w:rFonts w:ascii="Garamond" w:hAnsi="Garamond"/>
        </w:rPr>
        <w:t>ed during the post-Suharto period since provincial and district-level governments in Indonesia have received an increased level of authority to manage their forestry revenue</w:t>
      </w:r>
      <w:r w:rsidR="009622FC">
        <w:rPr>
          <w:rFonts w:ascii="Garamond" w:hAnsi="Garamond"/>
          <w:lang w:val="en-US"/>
        </w:rPr>
        <w:t>.</w:t>
      </w:r>
      <w:r w:rsidRPr="009622FC">
        <w:rPr>
          <w:rStyle w:val="FootnoteReference"/>
          <w:rFonts w:ascii="Garamond" w:hAnsi="Garamond"/>
          <w:lang w:val="en-US"/>
        </w:rPr>
        <w:footnoteReference w:id="2"/>
      </w:r>
      <w:r w:rsidRPr="009622FC">
        <w:rPr>
          <w:rFonts w:ascii="Garamond" w:hAnsi="Garamond"/>
        </w:rPr>
        <w:t xml:space="preserve"> The natural resources sector is considered a part of this era's failure to manage and allocate said resources in an optimal manner for the public good. In this context, land and forests serve as a source of both formal and informal revenue for the government as well as for other parties whose interests lie beyond the government’s. In addition to the misuse of reforestation funds, corruption related to natural resources occurs through the release of land, the issuance of business permits to the private sector, and </w:t>
      </w:r>
      <w:r w:rsidR="00194B37" w:rsidRPr="009622FC">
        <w:rPr>
          <w:rFonts w:ascii="Garamond" w:hAnsi="Garamond"/>
        </w:rPr>
        <w:t xml:space="preserve">the </w:t>
      </w:r>
      <w:r w:rsidRPr="009622FC">
        <w:rPr>
          <w:rFonts w:ascii="Garamond" w:hAnsi="Garamond"/>
        </w:rPr>
        <w:t>conversion of forests</w:t>
      </w:r>
      <w:r w:rsidR="009622FC">
        <w:rPr>
          <w:rFonts w:ascii="Garamond" w:hAnsi="Garamond"/>
          <w:lang w:val="en-US"/>
        </w:rPr>
        <w:t>.</w:t>
      </w:r>
      <w:r w:rsidRPr="009622FC">
        <w:rPr>
          <w:rStyle w:val="FootnoteReference"/>
          <w:rFonts w:ascii="Garamond" w:hAnsi="Garamond"/>
          <w:lang w:val="en-US"/>
        </w:rPr>
        <w:footnoteReference w:id="3"/>
      </w:r>
      <w:r w:rsidRPr="009622FC">
        <w:rPr>
          <w:rFonts w:ascii="Garamond" w:hAnsi="Garamond"/>
        </w:rPr>
        <w:t xml:space="preserve"> </w:t>
      </w:r>
    </w:p>
    <w:p w:rsidR="00B42460" w:rsidRPr="009622FC" w:rsidRDefault="00B42460" w:rsidP="00B42460">
      <w:pPr>
        <w:pStyle w:val="BodyText"/>
        <w:spacing w:line="276" w:lineRule="auto"/>
        <w:jc w:val="both"/>
        <w:rPr>
          <w:rFonts w:ascii="Garamond" w:hAnsi="Garamond"/>
          <w:sz w:val="22"/>
        </w:rPr>
      </w:pPr>
      <w:r w:rsidRPr="009622FC">
        <w:rPr>
          <w:rFonts w:ascii="Garamond" w:hAnsi="Garamond"/>
          <w:b/>
          <w:sz w:val="22"/>
        </w:rPr>
        <w:t xml:space="preserve">Deforestation </w:t>
      </w:r>
      <w:r w:rsidR="00194B37" w:rsidRPr="009622FC">
        <w:rPr>
          <w:rFonts w:ascii="Garamond" w:hAnsi="Garamond"/>
          <w:b/>
          <w:sz w:val="22"/>
        </w:rPr>
        <w:t xml:space="preserve">and degradation </w:t>
      </w:r>
      <w:r w:rsidRPr="009622FC">
        <w:rPr>
          <w:rFonts w:ascii="Garamond" w:hAnsi="Garamond"/>
          <w:b/>
          <w:sz w:val="22"/>
        </w:rPr>
        <w:t>problems that the Indonesian government must confront.</w:t>
      </w:r>
      <w:r w:rsidRPr="009622FC">
        <w:rPr>
          <w:rFonts w:ascii="Garamond" w:hAnsi="Garamond"/>
          <w:sz w:val="22"/>
        </w:rPr>
        <w:t xml:space="preserve"> This is not just because the Indonesian government has made a commitment to the international community to mitigate its rate of emissions, but also because deforestation in man</w:t>
      </w:r>
      <w:r w:rsidR="00194B37" w:rsidRPr="009622FC">
        <w:rPr>
          <w:rFonts w:ascii="Garamond" w:hAnsi="Garamond"/>
          <w:sz w:val="22"/>
        </w:rPr>
        <w:t>y cases has eliminated a source</w:t>
      </w:r>
      <w:r w:rsidRPr="009622FC">
        <w:rPr>
          <w:rFonts w:ascii="Garamond" w:hAnsi="Garamond"/>
          <w:sz w:val="22"/>
        </w:rPr>
        <w:t xml:space="preserve"> of public income. Many studies</w:t>
      </w:r>
      <w:r w:rsidRPr="009622FC">
        <w:rPr>
          <w:rStyle w:val="FootnoteReference"/>
          <w:rFonts w:ascii="Garamond" w:hAnsi="Garamond"/>
          <w:sz w:val="22"/>
        </w:rPr>
        <w:footnoteReference w:id="4"/>
      </w:r>
      <w:r w:rsidRPr="009622FC">
        <w:rPr>
          <w:rFonts w:ascii="Garamond" w:hAnsi="Garamond"/>
          <w:sz w:val="22"/>
        </w:rPr>
        <w:t xml:space="preserve"> even suggest that the challenges the Indonesian government has to face have become increasingly difficult</w:t>
      </w:r>
      <w:r w:rsidR="00194B37" w:rsidRPr="009622FC">
        <w:rPr>
          <w:rFonts w:ascii="Garamond" w:hAnsi="Garamond"/>
          <w:sz w:val="22"/>
        </w:rPr>
        <w:t>,</w:t>
      </w:r>
      <w:r w:rsidRPr="009622FC">
        <w:rPr>
          <w:rFonts w:ascii="Garamond" w:hAnsi="Garamond"/>
          <w:sz w:val="22"/>
        </w:rPr>
        <w:t xml:space="preserve"> since most deforestation is related to corrupt political and economic systems that consider natural resources, and land and forests in particular, as a source of revenue to be exploited for both political and personal gain.</w:t>
      </w:r>
    </w:p>
    <w:p w:rsidR="00B42460" w:rsidRPr="009622FC" w:rsidRDefault="00B42460" w:rsidP="00B42460">
      <w:pPr>
        <w:pStyle w:val="BodyText"/>
        <w:spacing w:line="276" w:lineRule="auto"/>
        <w:jc w:val="both"/>
        <w:rPr>
          <w:rFonts w:ascii="Garamond" w:hAnsi="Garamond"/>
          <w:sz w:val="22"/>
        </w:rPr>
      </w:pPr>
      <w:r w:rsidRPr="009622FC">
        <w:rPr>
          <w:rFonts w:ascii="Garamond" w:hAnsi="Garamond"/>
          <w:b/>
          <w:sz w:val="22"/>
        </w:rPr>
        <w:t>As a part of the political and economic systems, land and forest governance must be continuously monitored by several parties</w:t>
      </w:r>
      <w:r w:rsidRPr="009622FC">
        <w:rPr>
          <w:rFonts w:ascii="Garamond" w:hAnsi="Garamond"/>
          <w:sz w:val="22"/>
        </w:rPr>
        <w:t>. Similar research should be conducted constantly in order to generate recommendations and feed massive public debate to promote improvement to governance as soon as possible. In addition to looking at what policy packages, programs and activities the government makes available, another approach to examining the government's commitment is to use a budget instrument, that is, to examine to what extent government re</w:t>
      </w:r>
      <w:r w:rsidR="00230CE8">
        <w:rPr>
          <w:rFonts w:ascii="Garamond" w:hAnsi="Garamond"/>
          <w:sz w:val="22"/>
        </w:rPr>
        <w:t>venue and expenditure are utili</w:t>
      </w:r>
      <w:r w:rsidR="00230CE8">
        <w:rPr>
          <w:rFonts w:ascii="Garamond" w:hAnsi="Garamond"/>
          <w:sz w:val="22"/>
          <w:lang w:val="en-US"/>
        </w:rPr>
        <w:t>s</w:t>
      </w:r>
      <w:r w:rsidRPr="009622FC">
        <w:rPr>
          <w:rFonts w:ascii="Garamond" w:hAnsi="Garamond"/>
          <w:sz w:val="22"/>
        </w:rPr>
        <w:t>ed to reduce the rate of deforestation. This approach deals with the question of whether the budget po</w:t>
      </w:r>
      <w:r w:rsidR="00194B37" w:rsidRPr="009622FC">
        <w:rPr>
          <w:rFonts w:ascii="Garamond" w:hAnsi="Garamond"/>
          <w:sz w:val="22"/>
        </w:rPr>
        <w:t xml:space="preserve">licy the government develops </w:t>
      </w:r>
      <w:r w:rsidRPr="009622FC">
        <w:rPr>
          <w:rFonts w:ascii="Garamond" w:hAnsi="Garamond"/>
          <w:sz w:val="22"/>
        </w:rPr>
        <w:t>actually decrea</w:t>
      </w:r>
      <w:r w:rsidR="00194B37" w:rsidRPr="009622FC">
        <w:rPr>
          <w:rFonts w:ascii="Garamond" w:hAnsi="Garamond"/>
          <w:sz w:val="22"/>
        </w:rPr>
        <w:t>ses or increases</w:t>
      </w:r>
      <w:r w:rsidRPr="009622FC">
        <w:rPr>
          <w:rFonts w:ascii="Garamond" w:hAnsi="Garamond"/>
          <w:sz w:val="22"/>
        </w:rPr>
        <w:t xml:space="preserve"> the rate of deforestation in Indonesia.  In other words, analysis of budget management is an instrument that can provide feedback on land and forest governance in Indonesia. This study </w:t>
      </w:r>
      <w:r w:rsidR="00194B37" w:rsidRPr="009622FC">
        <w:rPr>
          <w:rFonts w:ascii="Garamond" w:hAnsi="Garamond"/>
          <w:sz w:val="22"/>
        </w:rPr>
        <w:t>is an attempt to answer that question</w:t>
      </w:r>
      <w:r w:rsidRPr="009622FC">
        <w:rPr>
          <w:rFonts w:ascii="Garamond" w:hAnsi="Garamond"/>
          <w:sz w:val="22"/>
        </w:rPr>
        <w:t xml:space="preserve">. </w:t>
      </w:r>
    </w:p>
    <w:p w:rsidR="00B42460" w:rsidRPr="009622FC" w:rsidRDefault="00230CE8" w:rsidP="00B42460">
      <w:pPr>
        <w:pStyle w:val="BodyText"/>
        <w:spacing w:line="276" w:lineRule="auto"/>
        <w:jc w:val="both"/>
        <w:rPr>
          <w:rFonts w:ascii="Garamond" w:hAnsi="Garamond"/>
          <w:sz w:val="22"/>
        </w:rPr>
      </w:pPr>
      <w:r>
        <w:rPr>
          <w:rFonts w:ascii="Garamond" w:hAnsi="Garamond"/>
          <w:b/>
          <w:sz w:val="22"/>
        </w:rPr>
        <w:lastRenderedPageBreak/>
        <w:t>This study aimed to analy</w:t>
      </w:r>
      <w:r>
        <w:rPr>
          <w:rFonts w:ascii="Garamond" w:hAnsi="Garamond"/>
          <w:b/>
          <w:sz w:val="22"/>
          <w:lang w:val="en-US"/>
        </w:rPr>
        <w:t>s</w:t>
      </w:r>
      <w:r w:rsidR="00B42460" w:rsidRPr="009622FC">
        <w:rPr>
          <w:rFonts w:ascii="Garamond" w:hAnsi="Garamond"/>
          <w:b/>
          <w:sz w:val="22"/>
        </w:rPr>
        <w:t>e budgeting policies at the regional level regarding land and forest governance in Indonesia</w:t>
      </w:r>
      <w:r w:rsidR="00B42460" w:rsidRPr="009622FC">
        <w:rPr>
          <w:rFonts w:ascii="Garamond" w:hAnsi="Garamond"/>
          <w:sz w:val="22"/>
        </w:rPr>
        <w:t>. Three (3) provinces and six (6) regencies were reviewed in this study, considering to what extent planning and budgeting policies at the regional level provide useful contributions toward improving land and forest governance. In parti</w:t>
      </w:r>
      <w:r>
        <w:rPr>
          <w:rFonts w:ascii="Garamond" w:hAnsi="Garamond"/>
          <w:sz w:val="22"/>
        </w:rPr>
        <w:t>cular, the study aimed to analy</w:t>
      </w:r>
      <w:r>
        <w:rPr>
          <w:rFonts w:ascii="Garamond" w:hAnsi="Garamond"/>
          <w:sz w:val="22"/>
          <w:lang w:val="en-US"/>
        </w:rPr>
        <w:t>s</w:t>
      </w:r>
      <w:r w:rsidR="00B42460" w:rsidRPr="009622FC">
        <w:rPr>
          <w:rFonts w:ascii="Garamond" w:hAnsi="Garamond"/>
          <w:sz w:val="22"/>
        </w:rPr>
        <w:t xml:space="preserve">e two issues: </w:t>
      </w:r>
      <w:r w:rsidR="00B42460" w:rsidRPr="009622FC">
        <w:rPr>
          <w:rFonts w:ascii="Garamond" w:hAnsi="Garamond"/>
          <w:i/>
          <w:sz w:val="22"/>
        </w:rPr>
        <w:t>firstly,</w:t>
      </w:r>
      <w:r w:rsidR="00B42460" w:rsidRPr="009622FC">
        <w:rPr>
          <w:rFonts w:ascii="Garamond" w:hAnsi="Garamond"/>
          <w:sz w:val="22"/>
        </w:rPr>
        <w:t xml:space="preserve"> it r</w:t>
      </w:r>
      <w:r>
        <w:rPr>
          <w:rFonts w:ascii="Garamond" w:hAnsi="Garamond"/>
          <w:sz w:val="22"/>
        </w:rPr>
        <w:t>eviewed the potential and reali</w:t>
      </w:r>
      <w:r>
        <w:rPr>
          <w:rFonts w:ascii="Garamond" w:hAnsi="Garamond"/>
          <w:sz w:val="22"/>
          <w:lang w:val="en-US"/>
        </w:rPr>
        <w:t>s</w:t>
      </w:r>
      <w:r w:rsidR="00B42460" w:rsidRPr="009622FC">
        <w:rPr>
          <w:rFonts w:ascii="Garamond" w:hAnsi="Garamond"/>
          <w:sz w:val="22"/>
        </w:rPr>
        <w:t xml:space="preserve">ed regional revenue from land and forest governance, and </w:t>
      </w:r>
      <w:r w:rsidR="00B42460" w:rsidRPr="009622FC">
        <w:rPr>
          <w:rFonts w:ascii="Garamond" w:hAnsi="Garamond"/>
          <w:i/>
          <w:sz w:val="22"/>
        </w:rPr>
        <w:t xml:space="preserve">secondly, </w:t>
      </w:r>
      <w:r w:rsidR="00B42460" w:rsidRPr="009622FC">
        <w:rPr>
          <w:rFonts w:ascii="Garamond" w:hAnsi="Garamond"/>
          <w:sz w:val="22"/>
        </w:rPr>
        <w:t xml:space="preserve">it examined the orientation of regional expenditure policies in accelerating improvements to land and forest governance. Unlike the budget study conducted at the national level, which reviewed the consistency of existing planning policies and their relevance to budget policies, this study only reviewed how the budget </w:t>
      </w:r>
      <w:r w:rsidR="00194B37" w:rsidRPr="009622FC">
        <w:rPr>
          <w:rFonts w:ascii="Garamond" w:hAnsi="Garamond"/>
          <w:sz w:val="22"/>
        </w:rPr>
        <w:t xml:space="preserve">policies were managed </w:t>
      </w:r>
      <w:r w:rsidR="00B42460" w:rsidRPr="009622FC">
        <w:rPr>
          <w:rFonts w:ascii="Garamond" w:hAnsi="Garamond"/>
          <w:sz w:val="22"/>
        </w:rPr>
        <w:t xml:space="preserve">in order to support the objective of mitigating deforestation and forest degradation, which contributes directly to emission mitigation. </w:t>
      </w:r>
    </w:p>
    <w:p w:rsidR="00B42460" w:rsidRPr="009622FC" w:rsidRDefault="00B42460" w:rsidP="00B42460">
      <w:pPr>
        <w:widowControl w:val="0"/>
        <w:autoSpaceDE w:val="0"/>
        <w:autoSpaceDN w:val="0"/>
        <w:adjustRightInd w:val="0"/>
        <w:spacing w:after="0"/>
        <w:jc w:val="both"/>
        <w:rPr>
          <w:rFonts w:ascii="Garamond" w:hAnsi="Garamond"/>
          <w:b/>
          <w:lang w:val="en-US"/>
        </w:rPr>
      </w:pPr>
    </w:p>
    <w:p w:rsidR="00B42460" w:rsidRPr="009622FC" w:rsidRDefault="00B42460" w:rsidP="00B42460">
      <w:pPr>
        <w:widowControl w:val="0"/>
        <w:autoSpaceDE w:val="0"/>
        <w:autoSpaceDN w:val="0"/>
        <w:adjustRightInd w:val="0"/>
        <w:spacing w:after="0"/>
        <w:jc w:val="both"/>
        <w:rPr>
          <w:rFonts w:ascii="Garamond" w:hAnsi="Garamond"/>
        </w:rPr>
      </w:pPr>
      <w:r w:rsidRPr="009622FC">
        <w:rPr>
          <w:rFonts w:ascii="Garamond" w:hAnsi="Garamond"/>
          <w:b/>
        </w:rPr>
        <w:t>As part of a monitoring instrument, this study was developed by civil society groups to review and evaluate the land and forest governance process in Indonesia within the framework of budget policy</w:t>
      </w:r>
      <w:r w:rsidRPr="009622FC">
        <w:rPr>
          <w:rFonts w:ascii="Garamond" w:hAnsi="Garamond"/>
        </w:rPr>
        <w:t>. This study was developed by a civil society network experienced in reviewing the policies of budget management in various government sectors. Seknas FITRA coordinated this study with the support of ten (10) civil group networks in the regions. Within the last five years, Seknas FITRA has intensively reviewed APBD budgets in 72 districts/municipalities and seven provinces, though the sectors or functions under review until now have mostly been education, healthcare and infrastructure.</w:t>
      </w:r>
    </w:p>
    <w:p w:rsidR="00B42460" w:rsidRPr="009622FC" w:rsidRDefault="00B42460" w:rsidP="00B42460">
      <w:pPr>
        <w:autoSpaceDE w:val="0"/>
        <w:autoSpaceDN w:val="0"/>
        <w:adjustRightInd w:val="0"/>
        <w:spacing w:after="0"/>
        <w:rPr>
          <w:rFonts w:ascii="Garamond" w:hAnsi="Garamond" w:cs="Cambria"/>
          <w:color w:val="000000"/>
          <w:lang w:val="en-US"/>
        </w:rPr>
      </w:pPr>
    </w:p>
    <w:p w:rsidR="00B42460" w:rsidRPr="009622FC" w:rsidRDefault="00B42460" w:rsidP="00B42460">
      <w:pPr>
        <w:autoSpaceDE w:val="0"/>
        <w:autoSpaceDN w:val="0"/>
        <w:adjustRightInd w:val="0"/>
        <w:spacing w:after="0"/>
        <w:jc w:val="both"/>
        <w:rPr>
          <w:rFonts w:ascii="Garamond" w:hAnsi="Garamond" w:cs="Cambria"/>
          <w:color w:val="000000"/>
          <w:lang w:val="en-US"/>
        </w:rPr>
      </w:pPr>
      <w:r w:rsidRPr="009622FC">
        <w:rPr>
          <w:rFonts w:ascii="Garamond" w:hAnsi="Garamond" w:cs="Cambria"/>
          <w:b/>
          <w:color w:val="000000"/>
        </w:rPr>
        <w:t>This study is expected to be able to provide feedback to the government and other parties</w:t>
      </w:r>
      <w:r w:rsidRPr="009622FC">
        <w:rPr>
          <w:rFonts w:ascii="Garamond" w:hAnsi="Garamond" w:cs="Cambria"/>
          <w:color w:val="000000"/>
        </w:rPr>
        <w:t xml:space="preserve">. </w:t>
      </w:r>
      <w:r w:rsidR="00194B37" w:rsidRPr="009622FC">
        <w:rPr>
          <w:rFonts w:ascii="Garamond" w:hAnsi="Garamond" w:cs="Cambria"/>
          <w:color w:val="000000"/>
        </w:rPr>
        <w:t xml:space="preserve">It is hoped that this study will </w:t>
      </w:r>
      <w:r w:rsidRPr="009622FC">
        <w:rPr>
          <w:rFonts w:ascii="Garamond" w:hAnsi="Garamond" w:cs="Cambria"/>
          <w:color w:val="000000"/>
        </w:rPr>
        <w:t>be of use to local governments in formulating better budget policies for society and, particularly, in optimally mitigating deforestation and forest degradation as well as emission mitigation. For provincial and c</w:t>
      </w:r>
      <w:r w:rsidR="00194B37" w:rsidRPr="009622FC">
        <w:rPr>
          <w:rFonts w:ascii="Garamond" w:hAnsi="Garamond" w:cs="Cambria"/>
          <w:color w:val="000000"/>
        </w:rPr>
        <w:t xml:space="preserve">entral governments, the </w:t>
      </w:r>
      <w:r w:rsidRPr="009622FC">
        <w:rPr>
          <w:rFonts w:ascii="Garamond" w:hAnsi="Garamond" w:cs="Cambria"/>
          <w:color w:val="000000"/>
        </w:rPr>
        <w:t>research is expected to be employed as a monitoring device of district-level government performance, in addition to serving as a reference for developing budget policies and technical assistance that can be provided to regional governments. This report is also expected to promote improvements to budget management policies, by both the central and regional governments. Additionally, for provincial and central governments in particular, this research is expected to provide useful feedback for strengthening government roles in evaluating, supervising and providing technical assistance to district-level governments. For other parties, the study is expected to serve as feedback for a broader dialogue on policy and to generate better public debate in order to improve</w:t>
      </w:r>
      <w:r w:rsidR="00194B37" w:rsidRPr="009622FC">
        <w:rPr>
          <w:rFonts w:ascii="Garamond" w:hAnsi="Garamond" w:cs="Cambria"/>
          <w:color w:val="000000"/>
        </w:rPr>
        <w:t xml:space="preserve"> </w:t>
      </w:r>
      <w:r w:rsidRPr="009622FC">
        <w:rPr>
          <w:rFonts w:ascii="Garamond" w:hAnsi="Garamond" w:cs="Cambria"/>
          <w:color w:val="000000"/>
        </w:rPr>
        <w:t xml:space="preserve">policy. </w:t>
      </w:r>
    </w:p>
    <w:p w:rsidR="00B42460" w:rsidRPr="009622FC" w:rsidRDefault="00B42460" w:rsidP="00B42460">
      <w:pPr>
        <w:pStyle w:val="ListParagraph"/>
        <w:tabs>
          <w:tab w:val="left" w:pos="426"/>
        </w:tabs>
        <w:spacing w:after="0"/>
        <w:ind w:left="426"/>
        <w:rPr>
          <w:rFonts w:ascii="Garamond" w:hAnsi="Garamond"/>
          <w:b/>
          <w:u w:val="single"/>
        </w:rPr>
      </w:pPr>
    </w:p>
    <w:p w:rsidR="00B42460" w:rsidRPr="009622FC" w:rsidRDefault="00B42460" w:rsidP="00B42460">
      <w:pPr>
        <w:pStyle w:val="ListParagraph"/>
        <w:numPr>
          <w:ilvl w:val="1"/>
          <w:numId w:val="30"/>
        </w:numPr>
        <w:tabs>
          <w:tab w:val="left" w:pos="426"/>
        </w:tabs>
        <w:spacing w:after="0"/>
        <w:rPr>
          <w:rFonts w:ascii="Garamond" w:hAnsi="Garamond"/>
          <w:b/>
          <w:u w:val="single"/>
        </w:rPr>
      </w:pPr>
      <w:r w:rsidRPr="009622FC">
        <w:rPr>
          <w:rFonts w:ascii="Garamond" w:hAnsi="Garamond"/>
          <w:b/>
          <w:u w:val="single"/>
        </w:rPr>
        <w:t xml:space="preserve">Research Framework </w:t>
      </w:r>
    </w:p>
    <w:p w:rsidR="00B42460" w:rsidRPr="009622FC" w:rsidRDefault="00B42460" w:rsidP="00B42460">
      <w:pPr>
        <w:autoSpaceDE w:val="0"/>
        <w:autoSpaceDN w:val="0"/>
        <w:adjustRightInd w:val="0"/>
        <w:spacing w:after="0"/>
        <w:jc w:val="both"/>
        <w:rPr>
          <w:rFonts w:ascii="Garamond" w:hAnsi="Garamond"/>
          <w:b/>
          <w:i/>
          <w:color w:val="371C27"/>
        </w:rPr>
      </w:pPr>
    </w:p>
    <w:p w:rsidR="00B42460" w:rsidRPr="009622FC" w:rsidRDefault="00B42460" w:rsidP="00B42460">
      <w:pPr>
        <w:autoSpaceDE w:val="0"/>
        <w:autoSpaceDN w:val="0"/>
        <w:adjustRightInd w:val="0"/>
        <w:spacing w:after="0"/>
        <w:jc w:val="both"/>
        <w:rPr>
          <w:rFonts w:ascii="Garamond" w:hAnsi="Garamond"/>
          <w:color w:val="371C27"/>
          <w:lang w:val="en-US"/>
        </w:rPr>
      </w:pPr>
      <w:r w:rsidRPr="009622FC">
        <w:rPr>
          <w:rFonts w:ascii="Garamond" w:hAnsi="Garamond"/>
          <w:b/>
          <w:color w:val="371C27"/>
        </w:rPr>
        <w:t>The research framework used in this stu</w:t>
      </w:r>
      <w:r w:rsidR="00230CE8">
        <w:rPr>
          <w:rFonts w:ascii="Garamond" w:hAnsi="Garamond"/>
          <w:b/>
          <w:color w:val="371C27"/>
        </w:rPr>
        <w:t>dy is similar to that for analy</w:t>
      </w:r>
      <w:r w:rsidR="00230CE8">
        <w:rPr>
          <w:rFonts w:ascii="Garamond" w:hAnsi="Garamond"/>
          <w:b/>
          <w:color w:val="371C27"/>
          <w:lang w:val="en-US"/>
        </w:rPr>
        <w:t>s</w:t>
      </w:r>
      <w:r w:rsidRPr="009622FC">
        <w:rPr>
          <w:rFonts w:ascii="Garamond" w:hAnsi="Garamond"/>
          <w:b/>
          <w:color w:val="371C27"/>
        </w:rPr>
        <w:t xml:space="preserve">ing national budget policy on land and forest governance. </w:t>
      </w:r>
      <w:r w:rsidRPr="009622FC">
        <w:rPr>
          <w:rFonts w:ascii="Garamond" w:hAnsi="Garamond"/>
          <w:i/>
          <w:color w:val="371C27"/>
        </w:rPr>
        <w:t xml:space="preserve"> </w:t>
      </w:r>
      <w:r w:rsidRPr="009622FC">
        <w:rPr>
          <w:rFonts w:ascii="Garamond" w:hAnsi="Garamond"/>
          <w:color w:val="371C27"/>
        </w:rPr>
        <w:t>In previous studies</w:t>
      </w:r>
      <w:r w:rsidRPr="009622FC">
        <w:rPr>
          <w:rStyle w:val="FootnoteReference"/>
          <w:rFonts w:ascii="Garamond" w:hAnsi="Garamond"/>
          <w:color w:val="371C27"/>
          <w:lang w:val="en-US"/>
        </w:rPr>
        <w:footnoteReference w:id="5"/>
      </w:r>
      <w:r w:rsidRPr="009622FC">
        <w:rPr>
          <w:rFonts w:ascii="Garamond" w:hAnsi="Garamond"/>
          <w:color w:val="371C27"/>
        </w:rPr>
        <w:t xml:space="preserve"> it has already been mentioned that budgets can be used as analytic instruments to examine a government's performance in land and forest governance. The budget as an instrument can also be used to assess the government's level of commitment or concern for managing its natural resources in a wise and fair manner. However, what makes this study different is that it gives less consideration to planning policy as a comparative instrument in budget policy analysis. The national budget study only evaluates one government entity, that is, the central government, hence making it possible to evaluate the suitability of planning policies and budget policies. Meanwhile, the study of regional budgets looks at the tendencies of regional governments, as represented by three (3) provinces and six (6) regencies in research areas, in managin</w:t>
      </w:r>
      <w:r w:rsidR="0003021E" w:rsidRPr="009622FC">
        <w:rPr>
          <w:rFonts w:ascii="Garamond" w:hAnsi="Garamond"/>
          <w:color w:val="371C27"/>
        </w:rPr>
        <w:t>g their general budget policy</w:t>
      </w:r>
      <w:r w:rsidRPr="009622FC">
        <w:rPr>
          <w:rFonts w:ascii="Garamond" w:hAnsi="Garamond"/>
          <w:color w:val="371C27"/>
        </w:rPr>
        <w:t xml:space="preserve"> for land and forest governance. Therefore, it is not possible to correlate the findings with policy planning analysis. </w:t>
      </w:r>
    </w:p>
    <w:p w:rsidR="00B42460" w:rsidRPr="009622FC" w:rsidRDefault="00B42460" w:rsidP="00B42460">
      <w:pPr>
        <w:autoSpaceDE w:val="0"/>
        <w:autoSpaceDN w:val="0"/>
        <w:adjustRightInd w:val="0"/>
        <w:spacing w:after="0"/>
        <w:jc w:val="both"/>
        <w:rPr>
          <w:rFonts w:ascii="Garamond" w:hAnsi="Garamond"/>
          <w:i/>
          <w:color w:val="371C27"/>
          <w:lang w:val="en-US"/>
        </w:rPr>
      </w:pPr>
      <w:r w:rsidRPr="009622FC">
        <w:rPr>
          <w:rFonts w:ascii="Garamond" w:hAnsi="Garamond"/>
          <w:i/>
          <w:color w:val="371C27"/>
        </w:rPr>
        <w:t xml:space="preserve"> </w:t>
      </w:r>
    </w:p>
    <w:p w:rsidR="00B42460" w:rsidRPr="009622FC" w:rsidRDefault="00B42460" w:rsidP="00B42460">
      <w:pPr>
        <w:autoSpaceDE w:val="0"/>
        <w:autoSpaceDN w:val="0"/>
        <w:adjustRightInd w:val="0"/>
        <w:spacing w:after="0"/>
        <w:jc w:val="both"/>
        <w:rPr>
          <w:rFonts w:ascii="Garamond" w:hAnsi="Garamond"/>
          <w:color w:val="371C27"/>
          <w:lang w:val="en-US"/>
        </w:rPr>
      </w:pPr>
      <w:r w:rsidRPr="009622FC">
        <w:rPr>
          <w:rFonts w:ascii="Garamond" w:hAnsi="Garamond"/>
          <w:color w:val="371C27"/>
        </w:rPr>
        <w:t xml:space="preserve">Several issues below serve as the basic assumptions used as a frame of thought and analysis in the study of budget policy at both the national and regional levels: </w:t>
      </w:r>
    </w:p>
    <w:p w:rsidR="00B42460" w:rsidRPr="009622FC" w:rsidRDefault="00B42460" w:rsidP="00B42460">
      <w:pPr>
        <w:pStyle w:val="ListParagraph"/>
        <w:numPr>
          <w:ilvl w:val="0"/>
          <w:numId w:val="33"/>
        </w:numPr>
        <w:autoSpaceDE w:val="0"/>
        <w:autoSpaceDN w:val="0"/>
        <w:adjustRightInd w:val="0"/>
        <w:spacing w:after="0"/>
        <w:jc w:val="both"/>
        <w:rPr>
          <w:rFonts w:ascii="Garamond" w:hAnsi="Garamond"/>
          <w:color w:val="3D3938"/>
        </w:rPr>
      </w:pPr>
      <w:r w:rsidRPr="009622FC">
        <w:rPr>
          <w:rFonts w:ascii="Garamond" w:hAnsi="Garamond"/>
          <w:b/>
          <w:color w:val="371C27"/>
        </w:rPr>
        <w:lastRenderedPageBreak/>
        <w:t>The budget (either the APBN or APBD) is an important instrument for the government to implement its programs</w:t>
      </w:r>
      <w:r w:rsidRPr="009622FC">
        <w:rPr>
          <w:rFonts w:ascii="Garamond" w:hAnsi="Garamond"/>
          <w:color w:val="371C27"/>
        </w:rPr>
        <w:t xml:space="preserve">. The adequacy of the government budget in financing its programs is mostly affected by the way the budget is managed. </w:t>
      </w:r>
      <w:r w:rsidRPr="009622FC">
        <w:rPr>
          <w:rFonts w:ascii="Garamond" w:hAnsi="Garamond"/>
          <w:color w:val="3D3938"/>
        </w:rPr>
        <w:t xml:space="preserve"> </w:t>
      </w:r>
    </w:p>
    <w:p w:rsidR="00B42460" w:rsidRPr="009622FC" w:rsidRDefault="00B42460" w:rsidP="00B42460">
      <w:pPr>
        <w:pStyle w:val="ListParagraph"/>
        <w:numPr>
          <w:ilvl w:val="0"/>
          <w:numId w:val="33"/>
        </w:numPr>
        <w:autoSpaceDE w:val="0"/>
        <w:autoSpaceDN w:val="0"/>
        <w:adjustRightInd w:val="0"/>
        <w:spacing w:after="0"/>
        <w:jc w:val="both"/>
        <w:rPr>
          <w:rFonts w:ascii="Garamond" w:hAnsi="Garamond"/>
          <w:color w:val="3D3938"/>
        </w:rPr>
      </w:pPr>
      <w:r w:rsidRPr="009622FC">
        <w:rPr>
          <w:rFonts w:ascii="Garamond" w:hAnsi="Garamond"/>
          <w:b/>
          <w:color w:val="3D3938"/>
        </w:rPr>
        <w:t>The government's budget is a reflection of political decisions between the executive and legislative branches that indicates what the government does each year</w:t>
      </w:r>
      <w:r w:rsidRPr="009622FC">
        <w:rPr>
          <w:rFonts w:ascii="Garamond" w:hAnsi="Garamond"/>
          <w:color w:val="3D3938"/>
        </w:rPr>
        <w:t>. This political decision has widespread impacts, not only on</w:t>
      </w:r>
      <w:r w:rsidR="0003021E" w:rsidRPr="009622FC">
        <w:rPr>
          <w:rFonts w:ascii="Garamond" w:hAnsi="Garamond"/>
          <w:color w:val="3D3938"/>
        </w:rPr>
        <w:t xml:space="preserve"> the quality of life for citizens</w:t>
      </w:r>
      <w:r w:rsidRPr="009622FC">
        <w:rPr>
          <w:rFonts w:ascii="Garamond" w:hAnsi="Garamond"/>
          <w:color w:val="3D3938"/>
        </w:rPr>
        <w:t>, but also on the way the government allocates existing resources to fulfill its programming requirements. Therefore, this political decision reflects the extent of the government</w:t>
      </w:r>
      <w:r w:rsidR="0003021E" w:rsidRPr="009622FC">
        <w:rPr>
          <w:rFonts w:ascii="Garamond" w:hAnsi="Garamond"/>
          <w:color w:val="3D3938"/>
        </w:rPr>
        <w:t>’s</w:t>
      </w:r>
      <w:r w:rsidRPr="009622FC">
        <w:rPr>
          <w:rFonts w:ascii="Garamond" w:hAnsi="Garamond"/>
          <w:color w:val="3D3938"/>
        </w:rPr>
        <w:t xml:space="preserve"> concern for its people and the environment.  </w:t>
      </w:r>
    </w:p>
    <w:p w:rsidR="00B42460" w:rsidRPr="009622FC" w:rsidRDefault="00B42460" w:rsidP="00B42460">
      <w:pPr>
        <w:pStyle w:val="ListParagraph"/>
        <w:numPr>
          <w:ilvl w:val="0"/>
          <w:numId w:val="33"/>
        </w:numPr>
        <w:autoSpaceDE w:val="0"/>
        <w:autoSpaceDN w:val="0"/>
        <w:adjustRightInd w:val="0"/>
        <w:spacing w:after="0"/>
        <w:jc w:val="both"/>
        <w:rPr>
          <w:rFonts w:ascii="Garamond" w:hAnsi="Garamond"/>
          <w:color w:val="3D3938"/>
        </w:rPr>
      </w:pPr>
      <w:r w:rsidRPr="009622FC">
        <w:rPr>
          <w:rFonts w:ascii="Garamond" w:hAnsi="Garamond"/>
          <w:b/>
          <w:color w:val="3D3938"/>
        </w:rPr>
        <w:t>Budget policies are closely related to land and forest governance</w:t>
      </w:r>
      <w:r w:rsidRPr="009622FC">
        <w:rPr>
          <w:rFonts w:ascii="Garamond" w:hAnsi="Garamond"/>
          <w:color w:val="3D3938"/>
        </w:rPr>
        <w:t>. In addition to serving as a</w:t>
      </w:r>
      <w:r w:rsidR="0003021E" w:rsidRPr="009622FC">
        <w:rPr>
          <w:rFonts w:ascii="Garamond" w:hAnsi="Garamond"/>
          <w:color w:val="3D3938"/>
        </w:rPr>
        <w:t>n instrument of regional revenue</w:t>
      </w:r>
      <w:r w:rsidRPr="009622FC">
        <w:rPr>
          <w:rFonts w:ascii="Garamond" w:hAnsi="Garamond"/>
          <w:color w:val="3D3938"/>
        </w:rPr>
        <w:t xml:space="preserve">, land and forest governance is also an instrument of regional spending and financing. </w:t>
      </w:r>
    </w:p>
    <w:p w:rsidR="00B42460" w:rsidRPr="009622FC" w:rsidRDefault="00B42460" w:rsidP="00B42460">
      <w:pPr>
        <w:pStyle w:val="ListParagraph"/>
        <w:numPr>
          <w:ilvl w:val="1"/>
          <w:numId w:val="33"/>
        </w:numPr>
        <w:autoSpaceDE w:val="0"/>
        <w:autoSpaceDN w:val="0"/>
        <w:adjustRightInd w:val="0"/>
        <w:spacing w:after="0"/>
        <w:jc w:val="both"/>
        <w:rPr>
          <w:rFonts w:ascii="Garamond" w:hAnsi="Garamond"/>
          <w:color w:val="3D3938"/>
        </w:rPr>
      </w:pPr>
      <w:r w:rsidRPr="009622FC">
        <w:rPr>
          <w:rFonts w:ascii="Garamond" w:hAnsi="Garamond"/>
          <w:i/>
          <w:color w:val="3D3938"/>
        </w:rPr>
        <w:t>As a revenue instrument</w:t>
      </w:r>
      <w:r w:rsidRPr="009622FC">
        <w:rPr>
          <w:rFonts w:ascii="Garamond" w:hAnsi="Garamond"/>
          <w:color w:val="3D3938"/>
        </w:rPr>
        <w:t xml:space="preserve">, land and forest governance is seen as an incentive policy through taxes and royalties the government withdraws for activities related to the land and forest sector. However, incentive policies through taxes and royalties might lead to an increase in deforestation and forest degradation and/or, conversely, a decrease in deforestation and forest degradation. The political decision to determine the sources of state revenue reflects the extent to which the government is committed to increasing or decreasing deforestation and forest degradation. </w:t>
      </w:r>
    </w:p>
    <w:p w:rsidR="00B42460" w:rsidRPr="009622FC" w:rsidRDefault="00B42460" w:rsidP="00B42460">
      <w:pPr>
        <w:pStyle w:val="ListParagraph"/>
        <w:numPr>
          <w:ilvl w:val="1"/>
          <w:numId w:val="33"/>
        </w:numPr>
        <w:autoSpaceDE w:val="0"/>
        <w:autoSpaceDN w:val="0"/>
        <w:adjustRightInd w:val="0"/>
        <w:spacing w:after="0"/>
        <w:jc w:val="both"/>
        <w:rPr>
          <w:rFonts w:ascii="Garamond" w:hAnsi="Garamond"/>
          <w:color w:val="3D3938"/>
        </w:rPr>
      </w:pPr>
      <w:r w:rsidRPr="009622FC">
        <w:rPr>
          <w:rFonts w:ascii="Garamond" w:hAnsi="Garamond"/>
          <w:i/>
          <w:color w:val="3D3938"/>
        </w:rPr>
        <w:t>In terms of regional spending</w:t>
      </w:r>
      <w:r w:rsidRPr="009622FC">
        <w:rPr>
          <w:rFonts w:ascii="Garamond" w:hAnsi="Garamond"/>
          <w:color w:val="3D3938"/>
        </w:rPr>
        <w:t>, this deals with the extent to which government money will be spent on those programs and activities supporting development goals. In particular, it ensures that there is an adequate budget available to finance programs and activities supporting the mitigation of deforestation and forest deg</w:t>
      </w:r>
      <w:r w:rsidR="0003021E" w:rsidRPr="009622FC">
        <w:rPr>
          <w:rFonts w:ascii="Garamond" w:hAnsi="Garamond"/>
          <w:color w:val="3D3938"/>
        </w:rPr>
        <w:t xml:space="preserve">radation. Additionally, it </w:t>
      </w:r>
      <w:r w:rsidRPr="009622FC">
        <w:rPr>
          <w:rFonts w:ascii="Garamond" w:hAnsi="Garamond"/>
          <w:color w:val="3D3938"/>
        </w:rPr>
        <w:t xml:space="preserve">ensures that an allotted amount of money is spent in an optimal manner to achieve the objective of mitigating deforestation and forest degradation. </w:t>
      </w:r>
    </w:p>
    <w:p w:rsidR="00B42460" w:rsidRPr="009622FC" w:rsidRDefault="00B42460" w:rsidP="00B42460">
      <w:pPr>
        <w:pStyle w:val="ListParagraph"/>
        <w:numPr>
          <w:ilvl w:val="1"/>
          <w:numId w:val="33"/>
        </w:numPr>
        <w:autoSpaceDE w:val="0"/>
        <w:autoSpaceDN w:val="0"/>
        <w:adjustRightInd w:val="0"/>
        <w:spacing w:after="0"/>
        <w:jc w:val="both"/>
        <w:rPr>
          <w:rFonts w:ascii="Garamond" w:hAnsi="Garamond"/>
          <w:color w:val="3D3938"/>
        </w:rPr>
      </w:pPr>
      <w:r w:rsidRPr="009622FC">
        <w:rPr>
          <w:rFonts w:ascii="Garamond" w:hAnsi="Garamond"/>
          <w:i/>
          <w:color w:val="3D3938"/>
        </w:rPr>
        <w:t>Financing</w:t>
      </w:r>
      <w:r w:rsidRPr="009622FC">
        <w:rPr>
          <w:rFonts w:ascii="Garamond" w:hAnsi="Garamond"/>
          <w:color w:val="3D3938"/>
        </w:rPr>
        <w:t xml:space="preserve"> is oriented toward the extent to which government money is invested in </w:t>
      </w:r>
      <w:r w:rsidR="0003021E" w:rsidRPr="009622FC">
        <w:rPr>
          <w:rFonts w:ascii="Garamond" w:hAnsi="Garamond"/>
          <w:color w:val="3D3938"/>
        </w:rPr>
        <w:t>green-</w:t>
      </w:r>
      <w:r w:rsidRPr="009622FC">
        <w:rPr>
          <w:rFonts w:ascii="Garamond" w:hAnsi="Garamond"/>
          <w:color w:val="3D3938"/>
        </w:rPr>
        <w:t>growth development</w:t>
      </w:r>
      <w:r w:rsidRPr="009622FC">
        <w:rPr>
          <w:rFonts w:ascii="Garamond" w:hAnsi="Garamond"/>
          <w:i/>
          <w:color w:val="3D3938"/>
        </w:rPr>
        <w:t xml:space="preserve"> </w:t>
      </w:r>
      <w:r w:rsidRPr="009622FC">
        <w:rPr>
          <w:rFonts w:ascii="Garamond" w:hAnsi="Garamond"/>
          <w:color w:val="3D3938"/>
        </w:rPr>
        <w:t xml:space="preserve">or in </w:t>
      </w:r>
      <w:r w:rsidR="0003021E" w:rsidRPr="009622FC">
        <w:rPr>
          <w:rFonts w:ascii="Garamond" w:hAnsi="Garamond"/>
          <w:color w:val="3D3938"/>
        </w:rPr>
        <w:t>non-green-</w:t>
      </w:r>
      <w:r w:rsidRPr="009622FC">
        <w:rPr>
          <w:rFonts w:ascii="Garamond" w:hAnsi="Garamond"/>
          <w:color w:val="3D3938"/>
        </w:rPr>
        <w:t>growth development</w:t>
      </w:r>
      <w:r w:rsidRPr="009622FC">
        <w:rPr>
          <w:rFonts w:ascii="Garamond" w:hAnsi="Garamond"/>
          <w:i/>
          <w:color w:val="3D3938"/>
        </w:rPr>
        <w:t xml:space="preserve">. </w:t>
      </w:r>
      <w:r w:rsidRPr="009622FC">
        <w:rPr>
          <w:rFonts w:ascii="Garamond" w:hAnsi="Garamond"/>
          <w:color w:val="3D3938"/>
        </w:rPr>
        <w:t xml:space="preserve">Ensuring that the money that is available supports </w:t>
      </w:r>
      <w:r w:rsidR="0003021E" w:rsidRPr="009622FC">
        <w:rPr>
          <w:rFonts w:ascii="Garamond" w:hAnsi="Garamond"/>
        </w:rPr>
        <w:t>green-</w:t>
      </w:r>
      <w:r w:rsidRPr="009622FC">
        <w:rPr>
          <w:rFonts w:ascii="Garamond" w:hAnsi="Garamond"/>
        </w:rPr>
        <w:t>growth development</w:t>
      </w:r>
      <w:r w:rsidR="00230CE8">
        <w:rPr>
          <w:rFonts w:ascii="Garamond" w:hAnsi="Garamond"/>
          <w:color w:val="3D3938"/>
        </w:rPr>
        <w:t xml:space="preserve"> through optimi</w:t>
      </w:r>
      <w:r w:rsidR="00230CE8">
        <w:rPr>
          <w:rFonts w:ascii="Garamond" w:hAnsi="Garamond"/>
          <w:color w:val="3D3938"/>
          <w:lang w:val="en-US"/>
        </w:rPr>
        <w:t>s</w:t>
      </w:r>
      <w:r w:rsidRPr="009622FC">
        <w:rPr>
          <w:rFonts w:ascii="Garamond" w:hAnsi="Garamond"/>
          <w:color w:val="3D3938"/>
        </w:rPr>
        <w:t xml:space="preserve">ation of the budget is critical to the fulfillment of the state funding scheme. </w:t>
      </w:r>
    </w:p>
    <w:p w:rsidR="00B42460" w:rsidRPr="009622FC" w:rsidRDefault="00B42460" w:rsidP="00B42460">
      <w:pPr>
        <w:autoSpaceDE w:val="0"/>
        <w:autoSpaceDN w:val="0"/>
        <w:adjustRightInd w:val="0"/>
        <w:spacing w:after="0"/>
        <w:jc w:val="both"/>
        <w:rPr>
          <w:rFonts w:ascii="Garamond" w:hAnsi="Garamond"/>
          <w:color w:val="3D3938"/>
        </w:rPr>
      </w:pPr>
    </w:p>
    <w:p w:rsidR="00B42460" w:rsidRPr="009622FC" w:rsidRDefault="00B42460" w:rsidP="00B42460">
      <w:pPr>
        <w:autoSpaceDE w:val="0"/>
        <w:autoSpaceDN w:val="0"/>
        <w:adjustRightInd w:val="0"/>
        <w:spacing w:after="0"/>
        <w:jc w:val="both"/>
        <w:rPr>
          <w:rFonts w:ascii="Garamond" w:hAnsi="Garamond"/>
          <w:color w:val="3D3938"/>
        </w:rPr>
      </w:pPr>
      <w:r w:rsidRPr="009622FC">
        <w:rPr>
          <w:rFonts w:ascii="Garamond" w:hAnsi="Garamond"/>
          <w:color w:val="3D3938"/>
        </w:rPr>
        <w:t xml:space="preserve">Below is a diagram of the effect of budget policies on land and forest governance employed as the framework of this research. </w:t>
      </w:r>
    </w:p>
    <w:p w:rsidR="00B42460" w:rsidRPr="009622FC" w:rsidRDefault="00B42460" w:rsidP="00B42460">
      <w:pPr>
        <w:tabs>
          <w:tab w:val="left" w:pos="0"/>
        </w:tabs>
        <w:spacing w:after="0"/>
        <w:jc w:val="center"/>
        <w:rPr>
          <w:rFonts w:ascii="Garamond" w:hAnsi="Garamond"/>
          <w:b/>
        </w:rPr>
      </w:pPr>
    </w:p>
    <w:p w:rsidR="009622FC" w:rsidRDefault="009622FC">
      <w:pPr>
        <w:spacing w:after="0" w:line="240" w:lineRule="auto"/>
        <w:rPr>
          <w:rFonts w:ascii="Garamond" w:hAnsi="Garamond"/>
          <w:b/>
        </w:rPr>
      </w:pPr>
      <w:r>
        <w:rPr>
          <w:rFonts w:ascii="Garamond" w:hAnsi="Garamond"/>
          <w:b/>
        </w:rPr>
        <w:br w:type="page"/>
      </w:r>
    </w:p>
    <w:p w:rsidR="00B42460" w:rsidRPr="009622FC" w:rsidRDefault="000D1F88" w:rsidP="00B42460">
      <w:pPr>
        <w:tabs>
          <w:tab w:val="left" w:pos="0"/>
        </w:tabs>
        <w:spacing w:after="0"/>
        <w:jc w:val="center"/>
        <w:rPr>
          <w:rFonts w:ascii="Garamond" w:hAnsi="Garamond"/>
          <w:b/>
        </w:rPr>
      </w:pPr>
      <w:r w:rsidRPr="009622FC">
        <w:rPr>
          <w:rFonts w:ascii="Garamond" w:hAnsi="Garamond"/>
          <w:b/>
        </w:rPr>
        <w:lastRenderedPageBreak/>
        <w:t xml:space="preserve">Diagram 1.1 </w:t>
      </w:r>
      <w:r w:rsidR="00B42460" w:rsidRPr="009622FC">
        <w:rPr>
          <w:rFonts w:ascii="Garamond" w:hAnsi="Garamond"/>
          <w:b/>
        </w:rPr>
        <w:t>Framework of Resea</w:t>
      </w:r>
      <w:r w:rsidR="0003021E" w:rsidRPr="009622FC">
        <w:rPr>
          <w:rFonts w:ascii="Garamond" w:hAnsi="Garamond"/>
          <w:b/>
        </w:rPr>
        <w:t xml:space="preserve">rch on Budget Policies in Land </w:t>
      </w:r>
      <w:r w:rsidR="00B42460" w:rsidRPr="009622FC">
        <w:rPr>
          <w:rFonts w:ascii="Garamond" w:hAnsi="Garamond"/>
          <w:b/>
        </w:rPr>
        <w:t>and Forest Governance</w:t>
      </w:r>
    </w:p>
    <w:p w:rsidR="00B42460" w:rsidRPr="009622FC" w:rsidRDefault="00B42460" w:rsidP="00B42460">
      <w:pPr>
        <w:tabs>
          <w:tab w:val="left" w:pos="0"/>
        </w:tabs>
        <w:spacing w:after="0"/>
        <w:ind w:left="426"/>
        <w:jc w:val="both"/>
        <w:rPr>
          <w:rFonts w:ascii="Garamond" w:hAnsi="Garamond"/>
        </w:rPr>
      </w:pPr>
    </w:p>
    <w:p w:rsidR="00B42460" w:rsidRPr="009622FC" w:rsidRDefault="00F739BB" w:rsidP="00B42460">
      <w:pPr>
        <w:tabs>
          <w:tab w:val="left" w:pos="426"/>
        </w:tabs>
        <w:spacing w:after="0"/>
        <w:jc w:val="center"/>
        <w:rPr>
          <w:rFonts w:ascii="Garamond" w:hAnsi="Garamond"/>
          <w:b/>
          <w:u w:val="single"/>
        </w:rPr>
      </w:pPr>
      <w:r w:rsidRPr="009622FC">
        <w:rPr>
          <w:rFonts w:ascii="Garamond" w:hAnsi="Garamond"/>
          <w:noProof/>
          <w:lang w:val="en-US" w:eastAsia="en-US" w:bidi="ar-SA"/>
        </w:rPr>
        <w:drawing>
          <wp:inline distT="0" distB="0" distL="0" distR="0">
            <wp:extent cx="5652932" cy="3501685"/>
            <wp:effectExtent l="0" t="0" r="0" b="3515"/>
            <wp:docPr id="3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42460" w:rsidRPr="009622FC" w:rsidRDefault="00B42460" w:rsidP="00770F4D">
      <w:pPr>
        <w:tabs>
          <w:tab w:val="left" w:pos="0"/>
        </w:tabs>
        <w:spacing w:after="0"/>
        <w:jc w:val="both"/>
        <w:rPr>
          <w:rFonts w:ascii="Garamond" w:hAnsi="Garamond"/>
        </w:rPr>
      </w:pPr>
    </w:p>
    <w:p w:rsidR="00770F4D" w:rsidRPr="009622FC" w:rsidRDefault="00B42460" w:rsidP="00B42460">
      <w:pPr>
        <w:pStyle w:val="ListParagraph"/>
        <w:numPr>
          <w:ilvl w:val="1"/>
          <w:numId w:val="30"/>
        </w:numPr>
        <w:tabs>
          <w:tab w:val="left" w:pos="426"/>
        </w:tabs>
        <w:spacing w:after="0"/>
        <w:rPr>
          <w:rFonts w:ascii="Garamond" w:hAnsi="Garamond"/>
          <w:b/>
          <w:u w:val="single"/>
        </w:rPr>
      </w:pPr>
      <w:r w:rsidRPr="009622FC">
        <w:rPr>
          <w:rFonts w:ascii="Garamond" w:hAnsi="Garamond"/>
          <w:b/>
          <w:u w:val="single"/>
        </w:rPr>
        <w:t>Research Methodology</w:t>
      </w:r>
    </w:p>
    <w:p w:rsidR="00B42460" w:rsidRPr="009622FC" w:rsidRDefault="00B42460" w:rsidP="00770F4D">
      <w:pPr>
        <w:pStyle w:val="ListParagraph"/>
        <w:tabs>
          <w:tab w:val="left" w:pos="426"/>
        </w:tabs>
        <w:spacing w:after="0"/>
        <w:ind w:left="405"/>
        <w:rPr>
          <w:rFonts w:ascii="Garamond" w:hAnsi="Garamond"/>
          <w:b/>
          <w:u w:val="single"/>
        </w:rPr>
      </w:pPr>
    </w:p>
    <w:p w:rsidR="00B42460" w:rsidRPr="009622FC" w:rsidRDefault="00B42460" w:rsidP="00B42460">
      <w:pPr>
        <w:pStyle w:val="ListParagraph"/>
        <w:numPr>
          <w:ilvl w:val="1"/>
          <w:numId w:val="3"/>
        </w:numPr>
        <w:tabs>
          <w:tab w:val="left" w:pos="426"/>
        </w:tabs>
        <w:spacing w:after="0"/>
        <w:ind w:left="426" w:hanging="426"/>
        <w:jc w:val="both"/>
        <w:rPr>
          <w:rFonts w:ascii="Garamond" w:hAnsi="Garamond"/>
          <w:b/>
        </w:rPr>
      </w:pPr>
      <w:r w:rsidRPr="009622FC">
        <w:rPr>
          <w:rFonts w:ascii="Garamond" w:hAnsi="Garamond"/>
          <w:b/>
        </w:rPr>
        <w:t>Scope of Analysis</w:t>
      </w:r>
    </w:p>
    <w:p w:rsidR="00B42460" w:rsidRDefault="00B42460" w:rsidP="00B42460">
      <w:pPr>
        <w:pStyle w:val="BodyText"/>
        <w:spacing w:before="120" w:line="276" w:lineRule="auto"/>
        <w:jc w:val="both"/>
        <w:rPr>
          <w:rFonts w:ascii="Garamond" w:hAnsi="Garamond"/>
          <w:sz w:val="22"/>
          <w:lang w:val="en-US"/>
        </w:rPr>
      </w:pPr>
      <w:r w:rsidRPr="009622FC">
        <w:rPr>
          <w:rFonts w:ascii="Garamond" w:hAnsi="Garamond"/>
          <w:b/>
          <w:sz w:val="22"/>
        </w:rPr>
        <w:t>This study focused on general analysis budget management and specific analysis of budgets for the land and forest sector</w:t>
      </w:r>
      <w:r w:rsidRPr="009622FC">
        <w:rPr>
          <w:rFonts w:ascii="Garamond" w:hAnsi="Garamond"/>
          <w:sz w:val="22"/>
        </w:rPr>
        <w:t>. The general analysis includes the profile and tendencies of budget revenue, expenditure and financing. The sectoral analysis, in essence, focuses on spending on programs that are expected to contribute to efforts toward reducing the rates of deforestation and forest degradation. This sector</w:t>
      </w:r>
      <w:r w:rsidR="006801DA" w:rsidRPr="009622FC">
        <w:rPr>
          <w:rFonts w:ascii="Garamond" w:hAnsi="Garamond"/>
          <w:sz w:val="22"/>
        </w:rPr>
        <w:t>al</w:t>
      </w:r>
      <w:r w:rsidRPr="009622FC">
        <w:rPr>
          <w:rFonts w:ascii="Garamond" w:hAnsi="Garamond"/>
          <w:sz w:val="22"/>
        </w:rPr>
        <w:t xml:space="preserve"> analysis focuses on forestry, agriculture, spatial zoning and the environment (LH), as well as energy and mineral resources (ESDM).</w:t>
      </w:r>
    </w:p>
    <w:p w:rsidR="0050336B" w:rsidRPr="0050336B" w:rsidRDefault="0050336B" w:rsidP="0050336B">
      <w:pPr>
        <w:pStyle w:val="BodyText"/>
        <w:spacing w:before="0"/>
        <w:jc w:val="both"/>
        <w:rPr>
          <w:rFonts w:ascii="Garamond" w:hAnsi="Garamond"/>
          <w:sz w:val="22"/>
          <w:lang w:val="en-US"/>
        </w:rPr>
      </w:pPr>
    </w:p>
    <w:p w:rsidR="00B42460" w:rsidRPr="009622FC" w:rsidRDefault="00B42460" w:rsidP="00B42460">
      <w:pPr>
        <w:pStyle w:val="BodyText"/>
        <w:spacing w:before="120" w:line="276" w:lineRule="auto"/>
        <w:jc w:val="both"/>
        <w:rPr>
          <w:rFonts w:ascii="Garamond" w:hAnsi="Garamond"/>
          <w:sz w:val="22"/>
        </w:rPr>
      </w:pPr>
      <w:r w:rsidRPr="009622FC">
        <w:rPr>
          <w:rFonts w:ascii="Garamond" w:hAnsi="Garamond"/>
          <w:b/>
          <w:sz w:val="22"/>
        </w:rPr>
        <w:t>Six districts in three provinces were reviewed</w:t>
      </w:r>
      <w:r w:rsidRPr="009622FC">
        <w:rPr>
          <w:rFonts w:ascii="Garamond" w:hAnsi="Garamond"/>
          <w:b/>
          <w:i/>
          <w:sz w:val="22"/>
        </w:rPr>
        <w:t xml:space="preserve">. </w:t>
      </w:r>
      <w:r w:rsidRPr="009622FC">
        <w:rPr>
          <w:rFonts w:ascii="Garamond" w:hAnsi="Garamond"/>
          <w:sz w:val="22"/>
        </w:rPr>
        <w:t>These six districts and three provinces are the areas studied under the SETAPAK program</w:t>
      </w:r>
      <w:r w:rsidRPr="009622FC">
        <w:rPr>
          <w:rStyle w:val="FootnoteReference"/>
          <w:rFonts w:ascii="Garamond" w:hAnsi="Garamond"/>
          <w:sz w:val="22"/>
        </w:rPr>
        <w:footnoteReference w:id="6"/>
      </w:r>
      <w:r w:rsidR="006801DA" w:rsidRPr="009622FC">
        <w:rPr>
          <w:rFonts w:ascii="Garamond" w:hAnsi="Garamond"/>
          <w:sz w:val="22"/>
        </w:rPr>
        <w:t xml:space="preserve"> of which</w:t>
      </w:r>
      <w:r w:rsidRPr="009622FC">
        <w:rPr>
          <w:rFonts w:ascii="Garamond" w:hAnsi="Garamond"/>
          <w:sz w:val="22"/>
        </w:rPr>
        <w:t xml:space="preserve"> Seknas FITRA is </w:t>
      </w:r>
      <w:r w:rsidR="006801DA" w:rsidRPr="009622FC">
        <w:rPr>
          <w:rFonts w:ascii="Garamond" w:hAnsi="Garamond"/>
          <w:sz w:val="22"/>
        </w:rPr>
        <w:t>a partner</w:t>
      </w:r>
      <w:r w:rsidRPr="009622FC">
        <w:rPr>
          <w:rFonts w:ascii="Garamond" w:hAnsi="Garamond"/>
          <w:sz w:val="22"/>
        </w:rPr>
        <w:t xml:space="preserve">. </w:t>
      </w:r>
      <w:r w:rsidR="006801DA" w:rsidRPr="009622FC">
        <w:rPr>
          <w:rFonts w:ascii="Garamond" w:hAnsi="Garamond"/>
          <w:sz w:val="22"/>
        </w:rPr>
        <w:t>In</w:t>
      </w:r>
      <w:r w:rsidRPr="009622FC">
        <w:rPr>
          <w:rFonts w:ascii="Garamond" w:hAnsi="Garamond"/>
          <w:sz w:val="22"/>
        </w:rPr>
        <w:t xml:space="preserve"> the SETAPAK program</w:t>
      </w:r>
      <w:r w:rsidR="006801DA" w:rsidRPr="009622FC">
        <w:rPr>
          <w:rFonts w:ascii="Garamond" w:hAnsi="Garamond"/>
          <w:sz w:val="22"/>
        </w:rPr>
        <w:t>, the provinces and districts</w:t>
      </w:r>
      <w:r w:rsidRPr="009622FC">
        <w:rPr>
          <w:rFonts w:ascii="Garamond" w:hAnsi="Garamond"/>
          <w:sz w:val="22"/>
        </w:rPr>
        <w:t xml:space="preserve"> were selected based on the condition of their forests and the availability of peatland and forest coverage, their regional socio-political conditions, and the availability of other supporting capacities such as civil society and infrastructure accessibility. The locations of the study include the province of South Sumatra with its Musi Banyuasin and Musi Rawas districts under review, East Kalimantan province with its Berau and Bulungan districts</w:t>
      </w:r>
      <w:r w:rsidRPr="009622FC">
        <w:rPr>
          <w:rStyle w:val="FootnoteReference"/>
          <w:rFonts w:ascii="Garamond" w:hAnsi="Garamond"/>
          <w:sz w:val="22"/>
        </w:rPr>
        <w:footnoteReference w:id="7"/>
      </w:r>
      <w:r w:rsidRPr="009622FC">
        <w:rPr>
          <w:rFonts w:ascii="Garamond" w:hAnsi="Garamond"/>
          <w:sz w:val="22"/>
        </w:rPr>
        <w:t xml:space="preserve"> under review and West Kalimantan province with its Sintang and Kubu Raya districts under review. </w:t>
      </w:r>
      <w:r w:rsidRPr="009622FC">
        <w:rPr>
          <w:rFonts w:ascii="Garamond" w:hAnsi="Garamond"/>
          <w:b/>
          <w:sz w:val="22"/>
        </w:rPr>
        <w:t>Table 1.1</w:t>
      </w:r>
      <w:r w:rsidRPr="009622FC">
        <w:rPr>
          <w:rFonts w:ascii="Garamond" w:hAnsi="Garamond"/>
          <w:sz w:val="22"/>
        </w:rPr>
        <w:t xml:space="preserve"> below is shows the nine regions participating in the SETAPAK program</w:t>
      </w:r>
      <w:bookmarkStart w:id="0" w:name="_Toc198109775"/>
      <w:r w:rsidRPr="009622FC">
        <w:rPr>
          <w:rFonts w:ascii="Garamond" w:hAnsi="Garamond"/>
          <w:sz w:val="22"/>
        </w:rPr>
        <w:t xml:space="preserve">, which also serve as the research areas for this study. </w:t>
      </w:r>
    </w:p>
    <w:p w:rsidR="00B42460" w:rsidRPr="009622FC" w:rsidRDefault="00E374B4" w:rsidP="00B42460">
      <w:pPr>
        <w:pStyle w:val="TableTitle"/>
        <w:spacing w:line="276" w:lineRule="auto"/>
        <w:rPr>
          <w:rFonts w:ascii="Garamond" w:hAnsi="Garamond"/>
          <w:sz w:val="22"/>
        </w:rPr>
      </w:pPr>
      <w:r w:rsidRPr="009622FC">
        <w:rPr>
          <w:rFonts w:ascii="Garamond" w:hAnsi="Garamond"/>
          <w:sz w:val="22"/>
        </w:rPr>
        <w:lastRenderedPageBreak/>
        <w:t>Table</w:t>
      </w:r>
      <w:r w:rsidR="000D1F88" w:rsidRPr="009622FC">
        <w:rPr>
          <w:rFonts w:ascii="Garamond" w:hAnsi="Garamond"/>
          <w:sz w:val="22"/>
        </w:rPr>
        <w:t xml:space="preserve"> 1.1 </w:t>
      </w:r>
      <w:r w:rsidR="00B42460" w:rsidRPr="009622FC">
        <w:rPr>
          <w:rFonts w:ascii="Garamond" w:hAnsi="Garamond"/>
          <w:sz w:val="22"/>
        </w:rPr>
        <w:t>General Statistical Data Profile of Research Areas</w:t>
      </w:r>
      <w:bookmarkEnd w:id="0"/>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204"/>
        <w:gridCol w:w="1794"/>
        <w:gridCol w:w="1937"/>
        <w:gridCol w:w="1118"/>
        <w:gridCol w:w="177"/>
        <w:gridCol w:w="1252"/>
      </w:tblGrid>
      <w:tr w:rsidR="00B42460" w:rsidRPr="009622FC">
        <w:trPr>
          <w:tblHeader/>
          <w:jc w:val="center"/>
        </w:trPr>
        <w:tc>
          <w:tcPr>
            <w:tcW w:w="480" w:type="dxa"/>
            <w:shd w:val="clear" w:color="auto" w:fill="943634"/>
            <w:vAlign w:val="center"/>
          </w:tcPr>
          <w:p w:rsidR="00B42460" w:rsidRPr="009622FC" w:rsidRDefault="00B42460" w:rsidP="00B42460">
            <w:pPr>
              <w:pStyle w:val="TableHeading"/>
              <w:spacing w:line="276" w:lineRule="auto"/>
              <w:rPr>
                <w:rFonts w:ascii="Garamond" w:hAnsi="Garamond"/>
                <w:color w:val="FFFFFF"/>
                <w:sz w:val="18"/>
                <w:szCs w:val="22"/>
              </w:rPr>
            </w:pPr>
            <w:r w:rsidRPr="009622FC">
              <w:rPr>
                <w:rFonts w:ascii="Garamond" w:hAnsi="Garamond"/>
                <w:color w:val="FFFFFF"/>
                <w:sz w:val="18"/>
                <w:szCs w:val="22"/>
              </w:rPr>
              <w:t>No.</w:t>
            </w:r>
          </w:p>
        </w:tc>
        <w:tc>
          <w:tcPr>
            <w:tcW w:w="2215" w:type="dxa"/>
            <w:shd w:val="clear" w:color="auto" w:fill="943634"/>
            <w:vAlign w:val="center"/>
          </w:tcPr>
          <w:p w:rsidR="00B42460" w:rsidRPr="009622FC" w:rsidRDefault="00B42460" w:rsidP="00B42460">
            <w:pPr>
              <w:pStyle w:val="TableHeading"/>
              <w:spacing w:line="276" w:lineRule="auto"/>
              <w:rPr>
                <w:rFonts w:ascii="Garamond" w:hAnsi="Garamond"/>
                <w:color w:val="FFFFFF"/>
                <w:sz w:val="18"/>
                <w:szCs w:val="22"/>
              </w:rPr>
            </w:pPr>
            <w:r w:rsidRPr="009622FC">
              <w:rPr>
                <w:rFonts w:ascii="Garamond" w:hAnsi="Garamond"/>
                <w:color w:val="FFFFFF"/>
                <w:sz w:val="18"/>
                <w:szCs w:val="22"/>
              </w:rPr>
              <w:t>Research Area</w:t>
            </w:r>
          </w:p>
        </w:tc>
        <w:tc>
          <w:tcPr>
            <w:tcW w:w="1800" w:type="dxa"/>
            <w:shd w:val="clear" w:color="auto" w:fill="943634"/>
            <w:vAlign w:val="center"/>
          </w:tcPr>
          <w:p w:rsidR="00B42460" w:rsidRPr="009622FC" w:rsidRDefault="00B42460" w:rsidP="00B42460">
            <w:pPr>
              <w:pStyle w:val="TableHeading"/>
              <w:spacing w:line="276" w:lineRule="auto"/>
              <w:rPr>
                <w:rFonts w:ascii="Garamond" w:hAnsi="Garamond"/>
                <w:color w:val="FFFFFF"/>
                <w:sz w:val="18"/>
                <w:szCs w:val="22"/>
              </w:rPr>
            </w:pPr>
            <w:r w:rsidRPr="009622FC">
              <w:rPr>
                <w:rFonts w:ascii="Garamond" w:hAnsi="Garamond"/>
                <w:color w:val="FFFFFF"/>
                <w:sz w:val="18"/>
                <w:szCs w:val="22"/>
              </w:rPr>
              <w:t xml:space="preserve">Population </w:t>
            </w:r>
          </w:p>
        </w:tc>
        <w:tc>
          <w:tcPr>
            <w:tcW w:w="1945" w:type="dxa"/>
            <w:shd w:val="clear" w:color="auto" w:fill="943634"/>
            <w:vAlign w:val="center"/>
          </w:tcPr>
          <w:p w:rsidR="00B42460" w:rsidRPr="009622FC" w:rsidRDefault="00B42460" w:rsidP="00B42460">
            <w:pPr>
              <w:pStyle w:val="TableHeading"/>
              <w:spacing w:line="276" w:lineRule="auto"/>
              <w:rPr>
                <w:rFonts w:ascii="Garamond" w:hAnsi="Garamond"/>
                <w:color w:val="FFFFFF"/>
                <w:sz w:val="18"/>
                <w:szCs w:val="22"/>
              </w:rPr>
            </w:pPr>
            <w:r w:rsidRPr="009622FC">
              <w:rPr>
                <w:rFonts w:ascii="Garamond" w:hAnsi="Garamond"/>
                <w:color w:val="FFFFFF"/>
                <w:sz w:val="18"/>
                <w:szCs w:val="22"/>
              </w:rPr>
              <w:t>Gross Regional Domestic Product (PDRB, Rp Billion)</w:t>
            </w:r>
          </w:p>
        </w:tc>
        <w:tc>
          <w:tcPr>
            <w:tcW w:w="1295" w:type="dxa"/>
            <w:gridSpan w:val="2"/>
            <w:shd w:val="clear" w:color="auto" w:fill="943634"/>
            <w:vAlign w:val="center"/>
          </w:tcPr>
          <w:p w:rsidR="00B42460" w:rsidRPr="009622FC" w:rsidRDefault="00B42460" w:rsidP="00B42460">
            <w:pPr>
              <w:pStyle w:val="TableHeading"/>
              <w:spacing w:line="276" w:lineRule="auto"/>
              <w:rPr>
                <w:rFonts w:ascii="Garamond" w:hAnsi="Garamond"/>
                <w:color w:val="FFFFFF"/>
                <w:sz w:val="18"/>
                <w:szCs w:val="22"/>
              </w:rPr>
            </w:pPr>
            <w:r w:rsidRPr="009622FC">
              <w:rPr>
                <w:rFonts w:ascii="Garamond" w:hAnsi="Garamond"/>
                <w:color w:val="FFFFFF"/>
                <w:sz w:val="18"/>
                <w:szCs w:val="22"/>
              </w:rPr>
              <w:t>Human Development Index</w:t>
            </w:r>
          </w:p>
        </w:tc>
        <w:tc>
          <w:tcPr>
            <w:tcW w:w="1256" w:type="dxa"/>
            <w:shd w:val="clear" w:color="auto" w:fill="943634"/>
            <w:vAlign w:val="center"/>
          </w:tcPr>
          <w:p w:rsidR="00B42460" w:rsidRPr="009622FC" w:rsidRDefault="00B42460" w:rsidP="00B42460">
            <w:pPr>
              <w:pStyle w:val="TableHeading"/>
              <w:spacing w:line="276" w:lineRule="auto"/>
              <w:rPr>
                <w:rFonts w:ascii="Garamond" w:hAnsi="Garamond"/>
                <w:color w:val="FFFFFF"/>
                <w:sz w:val="18"/>
                <w:szCs w:val="22"/>
              </w:rPr>
            </w:pPr>
            <w:r w:rsidRPr="009622FC">
              <w:rPr>
                <w:rFonts w:ascii="Garamond" w:hAnsi="Garamond"/>
                <w:color w:val="FFFFFF"/>
                <w:sz w:val="18"/>
                <w:szCs w:val="22"/>
              </w:rPr>
              <w:t>Poverty Rate (%)</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Musi Banyuasin district</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562,584</w:t>
            </w:r>
          </w:p>
        </w:tc>
        <w:tc>
          <w:tcPr>
            <w:tcW w:w="1945" w:type="dxa"/>
            <w:shd w:val="clear" w:color="auto" w:fill="auto"/>
          </w:tcPr>
          <w:p w:rsidR="00B42460" w:rsidRPr="009622FC" w:rsidRDefault="00B42460" w:rsidP="00B42460">
            <w:pPr>
              <w:pStyle w:val="TableContent"/>
              <w:spacing w:line="276" w:lineRule="auto"/>
              <w:jc w:val="center"/>
              <w:rPr>
                <w:rFonts w:ascii="Garamond" w:hAnsi="Garamond" w:cs="Calibri"/>
                <w:color w:val="000000"/>
                <w:sz w:val="18"/>
                <w:szCs w:val="22"/>
              </w:rPr>
            </w:pPr>
            <w:r w:rsidRPr="009622FC">
              <w:rPr>
                <w:rFonts w:ascii="Garamond" w:hAnsi="Garamond"/>
                <w:sz w:val="18"/>
                <w:szCs w:val="22"/>
              </w:rPr>
              <w:t>11,788</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71.81</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20.06</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2</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Musi Rawas district</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524,919</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5,646</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67.89</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19.38</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3</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Sintang district</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363,978</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3,916</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68.31</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9.76</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4</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Kubu Raya district</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498,333</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8,801</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67.56</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7.14</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5</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Berau district</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179,444</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7,895</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73.84</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6.60</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Bulungan district</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113,045</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2,303</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75.11</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14.57</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South Sumatra province</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7,446,401</w:t>
            </w:r>
          </w:p>
        </w:tc>
        <w:tc>
          <w:tcPr>
            <w:tcW w:w="1945" w:type="dxa"/>
            <w:shd w:val="clear" w:color="auto" w:fill="auto"/>
          </w:tcPr>
          <w:p w:rsidR="00B42460" w:rsidRPr="009622FC" w:rsidRDefault="00B42460" w:rsidP="00B42460">
            <w:pPr>
              <w:pStyle w:val="TableContent"/>
              <w:spacing w:line="276" w:lineRule="auto"/>
              <w:jc w:val="center"/>
              <w:rPr>
                <w:rFonts w:ascii="Garamond" w:hAnsi="Garamond" w:cs="Calibri"/>
                <w:color w:val="000000"/>
                <w:sz w:val="18"/>
                <w:szCs w:val="22"/>
              </w:rPr>
            </w:pPr>
            <w:r w:rsidRPr="009622FC">
              <w:rPr>
                <w:rFonts w:ascii="Garamond" w:hAnsi="Garamond"/>
                <w:sz w:val="18"/>
                <w:szCs w:val="22"/>
              </w:rPr>
              <w:t>112,449</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72.95</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15.47</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8</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West Kalimantan province</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4,393,239</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60,502</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69.15</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9.02</w:t>
            </w:r>
          </w:p>
        </w:tc>
      </w:tr>
      <w:tr w:rsidR="00B42460" w:rsidRPr="009622FC">
        <w:trPr>
          <w:jc w:val="center"/>
        </w:trPr>
        <w:tc>
          <w:tcPr>
            <w:tcW w:w="480"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9</w:t>
            </w:r>
          </w:p>
        </w:tc>
        <w:tc>
          <w:tcPr>
            <w:tcW w:w="2215" w:type="dxa"/>
            <w:shd w:val="clear" w:color="auto" w:fill="auto"/>
          </w:tcPr>
          <w:p w:rsidR="00B42460" w:rsidRPr="009622FC" w:rsidRDefault="00B42460" w:rsidP="00B42460">
            <w:pPr>
              <w:pStyle w:val="TableContent"/>
              <w:spacing w:line="276" w:lineRule="auto"/>
              <w:rPr>
                <w:rFonts w:ascii="Garamond" w:hAnsi="Garamond"/>
                <w:sz w:val="18"/>
                <w:szCs w:val="22"/>
              </w:rPr>
            </w:pPr>
            <w:r w:rsidRPr="009622FC">
              <w:rPr>
                <w:rFonts w:ascii="Garamond" w:hAnsi="Garamond"/>
                <w:sz w:val="18"/>
                <w:szCs w:val="22"/>
              </w:rPr>
              <w:t>East Kalimantan province</w:t>
            </w:r>
          </w:p>
        </w:tc>
        <w:tc>
          <w:tcPr>
            <w:tcW w:w="1800"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3,550,586</w:t>
            </w:r>
          </w:p>
        </w:tc>
        <w:tc>
          <w:tcPr>
            <w:tcW w:w="1945" w:type="dxa"/>
            <w:shd w:val="clear" w:color="auto" w:fill="auto"/>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187,875</w:t>
            </w:r>
          </w:p>
        </w:tc>
        <w:tc>
          <w:tcPr>
            <w:tcW w:w="1118" w:type="dxa"/>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75.56</w:t>
            </w:r>
          </w:p>
        </w:tc>
        <w:tc>
          <w:tcPr>
            <w:tcW w:w="1433" w:type="dxa"/>
            <w:gridSpan w:val="2"/>
            <w:shd w:val="clear" w:color="auto" w:fill="auto"/>
            <w:vAlign w:val="center"/>
          </w:tcPr>
          <w:p w:rsidR="00B42460" w:rsidRPr="009622FC" w:rsidRDefault="00B42460" w:rsidP="00B42460">
            <w:pPr>
              <w:pStyle w:val="TableContent"/>
              <w:spacing w:line="276" w:lineRule="auto"/>
              <w:jc w:val="center"/>
              <w:rPr>
                <w:rFonts w:ascii="Garamond" w:hAnsi="Garamond"/>
                <w:sz w:val="18"/>
                <w:szCs w:val="22"/>
              </w:rPr>
            </w:pPr>
            <w:r w:rsidRPr="009622FC">
              <w:rPr>
                <w:rFonts w:ascii="Garamond" w:hAnsi="Garamond"/>
                <w:sz w:val="18"/>
                <w:szCs w:val="22"/>
              </w:rPr>
              <w:t>7.66</w:t>
            </w:r>
          </w:p>
        </w:tc>
      </w:tr>
    </w:tbl>
    <w:p w:rsidR="00B42460" w:rsidRPr="00063089" w:rsidRDefault="00B42460" w:rsidP="00063089">
      <w:pPr>
        <w:pStyle w:val="sourcenote"/>
        <w:spacing w:line="276" w:lineRule="auto"/>
        <w:rPr>
          <w:rFonts w:ascii="Garamond" w:hAnsi="Garamond"/>
          <w:sz w:val="20"/>
          <w:szCs w:val="22"/>
          <w:lang w:val="en-US"/>
        </w:rPr>
      </w:pPr>
      <w:r w:rsidRPr="009622FC">
        <w:rPr>
          <w:rFonts w:ascii="Garamond" w:hAnsi="Garamond"/>
          <w:sz w:val="20"/>
          <w:szCs w:val="22"/>
          <w:u w:val="single"/>
        </w:rPr>
        <w:t>Source</w:t>
      </w:r>
      <w:r w:rsidRPr="009622FC">
        <w:rPr>
          <w:rFonts w:ascii="Garamond" w:hAnsi="Garamond"/>
          <w:sz w:val="20"/>
          <w:szCs w:val="22"/>
        </w:rPr>
        <w:t xml:space="preserve">: Central Statistics Agency/BPS (Population Census Results 2010 and PDRB Statistics 2009), National Team for the Acceleration of Tackling Poverty/TNP2K </w:t>
      </w:r>
      <w:r w:rsidR="00063089">
        <w:rPr>
          <w:rFonts w:ascii="Garamond" w:hAnsi="Garamond"/>
          <w:sz w:val="20"/>
          <w:szCs w:val="22"/>
        </w:rPr>
        <w:t>(IPM 2010, Poverty Levels 2010)</w:t>
      </w:r>
    </w:p>
    <w:p w:rsidR="00B42460" w:rsidRPr="00063089" w:rsidRDefault="00B42460" w:rsidP="00063089">
      <w:pPr>
        <w:pStyle w:val="sourcenote"/>
        <w:spacing w:line="276" w:lineRule="auto"/>
        <w:rPr>
          <w:rFonts w:ascii="Garamond" w:hAnsi="Garamond"/>
          <w:sz w:val="20"/>
          <w:szCs w:val="22"/>
          <w:lang w:val="en-US"/>
        </w:rPr>
      </w:pPr>
      <w:r w:rsidRPr="009622FC">
        <w:rPr>
          <w:rFonts w:ascii="Garamond" w:hAnsi="Garamond"/>
          <w:sz w:val="20"/>
          <w:szCs w:val="22"/>
          <w:u w:val="single"/>
        </w:rPr>
        <w:t>Notes</w:t>
      </w:r>
      <w:r w:rsidRPr="009622FC">
        <w:rPr>
          <w:rFonts w:ascii="Garamond" w:hAnsi="Garamond"/>
          <w:sz w:val="20"/>
          <w:szCs w:val="22"/>
        </w:rPr>
        <w:t>: PDRB does not include oil and gas, based on t</w:t>
      </w:r>
      <w:r w:rsidR="00063089">
        <w:rPr>
          <w:rFonts w:ascii="Garamond" w:hAnsi="Garamond"/>
          <w:sz w:val="20"/>
          <w:szCs w:val="22"/>
        </w:rPr>
        <w:t>he prices in effect as of 2010</w:t>
      </w:r>
    </w:p>
    <w:p w:rsidR="00B42460" w:rsidRPr="009622FC" w:rsidRDefault="00B42460" w:rsidP="00B42460">
      <w:pPr>
        <w:pStyle w:val="BodyText"/>
        <w:spacing w:line="276" w:lineRule="auto"/>
        <w:jc w:val="both"/>
        <w:rPr>
          <w:rFonts w:ascii="Garamond" w:hAnsi="Garamond"/>
          <w:sz w:val="22"/>
        </w:rPr>
      </w:pPr>
      <w:r w:rsidRPr="009622FC">
        <w:rPr>
          <w:rFonts w:ascii="Garamond" w:hAnsi="Garamond"/>
          <w:b/>
          <w:sz w:val="22"/>
        </w:rPr>
        <w:t>The Regional Revenue and Expenditure Budget (APBD) data under analysis includes budgets from 2009-2012</w:t>
      </w:r>
      <w:r w:rsidRPr="009622FC">
        <w:rPr>
          <w:rFonts w:ascii="Garamond" w:hAnsi="Garamond"/>
          <w:sz w:val="22"/>
        </w:rPr>
        <w:t>. The 2009-2011 APBD data use the original budget (APBD-M), am</w:t>
      </w:r>
      <w:r w:rsidR="00230CE8">
        <w:rPr>
          <w:rFonts w:ascii="Garamond" w:hAnsi="Garamond"/>
          <w:sz w:val="22"/>
        </w:rPr>
        <w:t>ended budget (APBD-P) and reali</w:t>
      </w:r>
      <w:r w:rsidR="00230CE8">
        <w:rPr>
          <w:rFonts w:ascii="Garamond" w:hAnsi="Garamond"/>
          <w:sz w:val="22"/>
          <w:lang w:val="en-US"/>
        </w:rPr>
        <w:t>s</w:t>
      </w:r>
      <w:r w:rsidRPr="009622FC">
        <w:rPr>
          <w:rFonts w:ascii="Garamond" w:hAnsi="Garamond"/>
          <w:sz w:val="22"/>
        </w:rPr>
        <w:t xml:space="preserve">ed budget (APBD-R), while for 2012, they use a budget plan (APBD-M or ‘original’). In addition to the budget data, the analysis also uses the latest supplemental statistical data, from both regional governments and various institutions of the central government. </w:t>
      </w:r>
    </w:p>
    <w:p w:rsidR="00B42460" w:rsidRPr="009622FC" w:rsidRDefault="00B42460" w:rsidP="00B42460">
      <w:pPr>
        <w:tabs>
          <w:tab w:val="left" w:pos="0"/>
        </w:tabs>
        <w:spacing w:after="0"/>
        <w:jc w:val="both"/>
        <w:rPr>
          <w:rFonts w:ascii="Garamond" w:hAnsi="Garamond"/>
        </w:rPr>
      </w:pPr>
    </w:p>
    <w:p w:rsidR="00B42460" w:rsidRPr="009622FC" w:rsidRDefault="00B42460" w:rsidP="00B42460">
      <w:pPr>
        <w:pStyle w:val="ListParagraph"/>
        <w:numPr>
          <w:ilvl w:val="1"/>
          <w:numId w:val="3"/>
        </w:numPr>
        <w:tabs>
          <w:tab w:val="left" w:pos="426"/>
        </w:tabs>
        <w:spacing w:after="120"/>
        <w:ind w:left="426" w:hanging="426"/>
        <w:jc w:val="both"/>
        <w:rPr>
          <w:rFonts w:ascii="Garamond" w:hAnsi="Garamond"/>
          <w:b/>
        </w:rPr>
      </w:pPr>
      <w:r w:rsidRPr="009622FC">
        <w:rPr>
          <w:rFonts w:ascii="Garamond" w:hAnsi="Garamond"/>
          <w:b/>
        </w:rPr>
        <w:t>Data Collection Technique</w:t>
      </w:r>
    </w:p>
    <w:p w:rsidR="00B42460" w:rsidRPr="009622FC" w:rsidRDefault="00B42460" w:rsidP="00B42460">
      <w:pPr>
        <w:pStyle w:val="BodyText"/>
        <w:spacing w:before="0" w:line="276" w:lineRule="auto"/>
        <w:jc w:val="both"/>
        <w:rPr>
          <w:rFonts w:ascii="Garamond" w:hAnsi="Garamond"/>
          <w:sz w:val="22"/>
        </w:rPr>
      </w:pPr>
      <w:r w:rsidRPr="009622FC">
        <w:rPr>
          <w:rFonts w:ascii="Garamond" w:hAnsi="Garamond"/>
          <w:b/>
          <w:sz w:val="22"/>
        </w:rPr>
        <w:t>APBD data and sectoral statistical data was collected at the regional and national levels.</w:t>
      </w:r>
      <w:r w:rsidRPr="009622FC">
        <w:rPr>
          <w:rFonts w:ascii="Garamond" w:hAnsi="Garamond"/>
          <w:sz w:val="22"/>
        </w:rPr>
        <w:t xml:space="preserve"> APBD data was collected by the team of researchers and research assistants in their respective areas, using both formal and informal access. Additionally, APBD data was obtained by national researchers (Seknas FITRA) from the </w:t>
      </w:r>
      <w:r w:rsidR="00E374B4" w:rsidRPr="009622FC">
        <w:rPr>
          <w:rFonts w:ascii="Garamond" w:hAnsi="Garamond"/>
          <w:sz w:val="22"/>
        </w:rPr>
        <w:t xml:space="preserve">Finance Ministry </w:t>
      </w:r>
      <w:r w:rsidRPr="009622FC">
        <w:rPr>
          <w:rFonts w:ascii="Garamond" w:hAnsi="Garamond"/>
          <w:sz w:val="22"/>
        </w:rPr>
        <w:t xml:space="preserve">through the Directorate General of Fiscal Balance (DJPK). Both the researchers and their assistants received prior training on the reading of budget data, data collection techniques and analysis for the purposes of this study. </w:t>
      </w:r>
    </w:p>
    <w:p w:rsidR="00B42460" w:rsidRDefault="00B42460"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Default="001626A3" w:rsidP="00B42460">
      <w:pPr>
        <w:pStyle w:val="BodyText"/>
        <w:spacing w:before="0" w:line="276" w:lineRule="auto"/>
        <w:jc w:val="both"/>
        <w:rPr>
          <w:rFonts w:ascii="Garamond" w:hAnsi="Garamond"/>
          <w:sz w:val="22"/>
          <w:lang w:val="en-US"/>
        </w:rPr>
      </w:pPr>
    </w:p>
    <w:p w:rsidR="001626A3" w:rsidRPr="001626A3" w:rsidRDefault="001626A3" w:rsidP="00B42460">
      <w:pPr>
        <w:pStyle w:val="BodyText"/>
        <w:spacing w:before="0" w:line="276" w:lineRule="auto"/>
        <w:jc w:val="both"/>
        <w:rPr>
          <w:rFonts w:ascii="Garamond" w:hAnsi="Garamond"/>
          <w:sz w:val="22"/>
          <w:lang w:val="en-US"/>
        </w:rPr>
      </w:pPr>
    </w:p>
    <w:p w:rsidR="00B42460" w:rsidRDefault="00B42460" w:rsidP="00B42460">
      <w:pPr>
        <w:pStyle w:val="TableTitle"/>
        <w:spacing w:before="0" w:after="0" w:line="276" w:lineRule="auto"/>
        <w:rPr>
          <w:rFonts w:ascii="Garamond" w:hAnsi="Garamond"/>
          <w:sz w:val="22"/>
          <w:lang w:val="en-US"/>
        </w:rPr>
      </w:pPr>
      <w:bookmarkStart w:id="1" w:name="_Toc198109776"/>
      <w:r w:rsidRPr="009622FC">
        <w:rPr>
          <w:rFonts w:ascii="Garamond" w:hAnsi="Garamond"/>
          <w:sz w:val="22"/>
        </w:rPr>
        <w:lastRenderedPageBreak/>
        <w:t>Table 1.2 Data Used and Source of Data</w:t>
      </w:r>
      <w:bookmarkEnd w:id="1"/>
    </w:p>
    <w:p w:rsidR="00063089" w:rsidRPr="00063089" w:rsidRDefault="00063089" w:rsidP="00B42460">
      <w:pPr>
        <w:pStyle w:val="TableTitle"/>
        <w:spacing w:before="0" w:after="0" w:line="276" w:lineRule="auto"/>
        <w:rPr>
          <w:rFonts w:ascii="Garamond" w:hAnsi="Garamond"/>
          <w:sz w:val="22"/>
          <w:lang w:val="en-US"/>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4"/>
        <w:gridCol w:w="2292"/>
        <w:gridCol w:w="2897"/>
      </w:tblGrid>
      <w:tr w:rsidR="00B42460" w:rsidRPr="009622FC">
        <w:trPr>
          <w:cantSplit/>
          <w:jc w:val="center"/>
        </w:trPr>
        <w:tc>
          <w:tcPr>
            <w:tcW w:w="568" w:type="dxa"/>
            <w:shd w:val="clear" w:color="auto" w:fill="943634"/>
            <w:vAlign w:val="center"/>
          </w:tcPr>
          <w:p w:rsidR="00B42460" w:rsidRPr="009622FC" w:rsidRDefault="00B42460" w:rsidP="00B42460">
            <w:pPr>
              <w:pStyle w:val="TableHeading"/>
              <w:spacing w:before="0" w:after="0" w:line="276" w:lineRule="auto"/>
              <w:rPr>
                <w:rFonts w:ascii="Garamond" w:hAnsi="Garamond"/>
                <w:color w:val="FFFFFF"/>
                <w:sz w:val="22"/>
                <w:szCs w:val="22"/>
              </w:rPr>
            </w:pPr>
            <w:r w:rsidRPr="009622FC">
              <w:rPr>
                <w:rFonts w:ascii="Garamond" w:hAnsi="Garamond"/>
                <w:color w:val="FFFFFF"/>
                <w:sz w:val="22"/>
                <w:szCs w:val="22"/>
              </w:rPr>
              <w:t>No</w:t>
            </w:r>
          </w:p>
        </w:tc>
        <w:tc>
          <w:tcPr>
            <w:tcW w:w="3344" w:type="dxa"/>
            <w:shd w:val="clear" w:color="auto" w:fill="943634"/>
            <w:vAlign w:val="center"/>
          </w:tcPr>
          <w:p w:rsidR="00B42460" w:rsidRPr="009622FC" w:rsidRDefault="00B42460" w:rsidP="00B42460">
            <w:pPr>
              <w:pStyle w:val="TableHeading"/>
              <w:spacing w:before="0" w:after="0" w:line="276" w:lineRule="auto"/>
              <w:rPr>
                <w:rFonts w:ascii="Garamond" w:hAnsi="Garamond"/>
                <w:color w:val="FFFFFF"/>
                <w:sz w:val="22"/>
                <w:szCs w:val="22"/>
              </w:rPr>
            </w:pPr>
            <w:r w:rsidRPr="009622FC">
              <w:rPr>
                <w:rFonts w:ascii="Garamond" w:hAnsi="Garamond"/>
                <w:color w:val="FFFFFF"/>
                <w:sz w:val="22"/>
                <w:szCs w:val="22"/>
              </w:rPr>
              <w:t>Description</w:t>
            </w:r>
          </w:p>
        </w:tc>
        <w:tc>
          <w:tcPr>
            <w:tcW w:w="2292" w:type="dxa"/>
            <w:shd w:val="clear" w:color="auto" w:fill="943634"/>
            <w:vAlign w:val="center"/>
          </w:tcPr>
          <w:p w:rsidR="00B42460" w:rsidRPr="009622FC" w:rsidRDefault="00B42460" w:rsidP="00B42460">
            <w:pPr>
              <w:pStyle w:val="TableHeading"/>
              <w:spacing w:before="0" w:after="0" w:line="276" w:lineRule="auto"/>
              <w:rPr>
                <w:rFonts w:ascii="Garamond" w:hAnsi="Garamond"/>
                <w:color w:val="FFFFFF"/>
                <w:sz w:val="22"/>
                <w:szCs w:val="22"/>
              </w:rPr>
            </w:pPr>
            <w:r w:rsidRPr="009622FC">
              <w:rPr>
                <w:rFonts w:ascii="Garamond" w:hAnsi="Garamond"/>
                <w:color w:val="FFFFFF"/>
                <w:sz w:val="22"/>
                <w:szCs w:val="22"/>
              </w:rPr>
              <w:t>Type</w:t>
            </w:r>
          </w:p>
        </w:tc>
        <w:tc>
          <w:tcPr>
            <w:tcW w:w="2897" w:type="dxa"/>
            <w:shd w:val="clear" w:color="auto" w:fill="943634"/>
            <w:vAlign w:val="center"/>
          </w:tcPr>
          <w:p w:rsidR="00B42460" w:rsidRPr="009622FC" w:rsidRDefault="00B42460" w:rsidP="00B42460">
            <w:pPr>
              <w:pStyle w:val="TableHeading"/>
              <w:spacing w:before="0" w:after="0" w:line="276" w:lineRule="auto"/>
              <w:rPr>
                <w:rFonts w:ascii="Garamond" w:hAnsi="Garamond"/>
                <w:color w:val="FFFFFF"/>
                <w:sz w:val="22"/>
                <w:szCs w:val="22"/>
              </w:rPr>
            </w:pPr>
            <w:r w:rsidRPr="009622FC">
              <w:rPr>
                <w:rFonts w:ascii="Garamond" w:hAnsi="Garamond"/>
                <w:color w:val="FFFFFF"/>
                <w:sz w:val="22"/>
                <w:szCs w:val="22"/>
              </w:rPr>
              <w:t>Source</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1</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 xml:space="preserve">Summary of APBDs 2009-2011 </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Draft/Origi</w:t>
            </w:r>
            <w:r w:rsidR="00230CE8">
              <w:rPr>
                <w:rFonts w:ascii="Garamond" w:hAnsi="Garamond"/>
                <w:sz w:val="22"/>
                <w:szCs w:val="22"/>
              </w:rPr>
              <w:t>nal (M), Amended (P), and Reali</w:t>
            </w:r>
            <w:r w:rsidR="00230CE8">
              <w:rPr>
                <w:rFonts w:ascii="Garamond" w:hAnsi="Garamond"/>
                <w:sz w:val="22"/>
                <w:szCs w:val="22"/>
                <w:lang w:val="en-US"/>
              </w:rPr>
              <w:t>s</w:t>
            </w:r>
            <w:r w:rsidRPr="009622FC">
              <w:rPr>
                <w:rFonts w:ascii="Garamond" w:hAnsi="Garamond"/>
                <w:sz w:val="22"/>
                <w:szCs w:val="22"/>
              </w:rPr>
              <w:t>ed(R)</w:t>
            </w:r>
            <w:r w:rsidRPr="009622FC">
              <w:rPr>
                <w:rStyle w:val="FootnoteReference"/>
                <w:rFonts w:ascii="Garamond" w:hAnsi="Garamond"/>
                <w:sz w:val="22"/>
                <w:szCs w:val="22"/>
              </w:rPr>
              <w:footnoteReference w:id="8"/>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PERDA and PERBUB APBD</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2</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Summary of 2012 APBD</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Plan (M)</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PERDA and PERBUB APBD</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3</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Summary of APBDs 2009-2011 by Function</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Draft/Original (M), Amended (P), and Real</w:t>
            </w:r>
            <w:r w:rsidR="00230CE8">
              <w:rPr>
                <w:rFonts w:ascii="Garamond" w:hAnsi="Garamond"/>
                <w:sz w:val="22"/>
                <w:szCs w:val="22"/>
              </w:rPr>
              <w:t>i</w:t>
            </w:r>
            <w:r w:rsidR="00230CE8">
              <w:rPr>
                <w:rFonts w:ascii="Garamond" w:hAnsi="Garamond"/>
                <w:sz w:val="22"/>
                <w:szCs w:val="22"/>
                <w:lang w:val="en-US"/>
              </w:rPr>
              <w:t>s</w:t>
            </w:r>
            <w:r w:rsidRPr="009622FC">
              <w:rPr>
                <w:rFonts w:ascii="Garamond" w:hAnsi="Garamond"/>
                <w:sz w:val="22"/>
                <w:szCs w:val="22"/>
              </w:rPr>
              <w:t>ed(R)</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PERDA and PERBUB APBD</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4</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Summary of 2012 APBD by Function</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Plan (M)</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PERDA and PERBUB APBD</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5</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Function – Program and Activities 2009-2011</w:t>
            </w:r>
          </w:p>
        </w:tc>
        <w:tc>
          <w:tcPr>
            <w:tcW w:w="2292" w:type="dxa"/>
            <w:shd w:val="clear" w:color="auto" w:fill="auto"/>
          </w:tcPr>
          <w:p w:rsidR="00B42460" w:rsidRPr="009622FC" w:rsidRDefault="00230CE8" w:rsidP="00B42460">
            <w:pPr>
              <w:pStyle w:val="TableContent"/>
              <w:spacing w:before="0" w:after="0" w:line="276" w:lineRule="auto"/>
              <w:jc w:val="center"/>
              <w:rPr>
                <w:rFonts w:ascii="Garamond" w:hAnsi="Garamond"/>
                <w:sz w:val="22"/>
                <w:szCs w:val="22"/>
              </w:rPr>
            </w:pPr>
            <w:r>
              <w:rPr>
                <w:rFonts w:ascii="Garamond" w:hAnsi="Garamond"/>
                <w:sz w:val="22"/>
                <w:szCs w:val="22"/>
              </w:rPr>
              <w:t>Reali</w:t>
            </w:r>
            <w:r>
              <w:rPr>
                <w:rFonts w:ascii="Garamond" w:hAnsi="Garamond"/>
                <w:sz w:val="22"/>
                <w:szCs w:val="22"/>
                <w:lang w:val="en-US"/>
              </w:rPr>
              <w:t>s</w:t>
            </w:r>
            <w:r w:rsidR="00B42460" w:rsidRPr="009622FC">
              <w:rPr>
                <w:rFonts w:ascii="Garamond" w:hAnsi="Garamond"/>
                <w:sz w:val="22"/>
                <w:szCs w:val="22"/>
              </w:rPr>
              <w:t>ed (R)</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PERDA and PERBUB APBD</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6</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Affairs – Program and Activities in 2012</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Plan (M)</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PERDA and PERBUB APBD</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7</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2009-2011 BPK Audit</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BPK</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8</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Result of 2010 Population Census (SP)</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BPS</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9</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Plantation Statistics</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BPS and relevant SKPDs</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10</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Forestry Statistics</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BPS and relevant SKPDs</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11</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Mining Statistics</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BPS and relevant SKPDs</w:t>
            </w:r>
          </w:p>
        </w:tc>
      </w:tr>
      <w:tr w:rsidR="00B42460" w:rsidRPr="009622FC">
        <w:trPr>
          <w:cantSplit/>
          <w:jc w:val="center"/>
        </w:trPr>
        <w:tc>
          <w:tcPr>
            <w:tcW w:w="568"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12</w:t>
            </w:r>
          </w:p>
        </w:tc>
        <w:tc>
          <w:tcPr>
            <w:tcW w:w="3344" w:type="dxa"/>
            <w:shd w:val="clear" w:color="auto" w:fill="auto"/>
          </w:tcPr>
          <w:p w:rsidR="00B42460" w:rsidRPr="009622FC" w:rsidRDefault="00B42460" w:rsidP="00B42460">
            <w:pPr>
              <w:pStyle w:val="TableContent"/>
              <w:spacing w:before="0" w:after="0" w:line="276" w:lineRule="auto"/>
              <w:rPr>
                <w:rFonts w:ascii="Garamond" w:hAnsi="Garamond"/>
                <w:sz w:val="22"/>
                <w:szCs w:val="22"/>
              </w:rPr>
            </w:pPr>
            <w:r w:rsidRPr="009622FC">
              <w:rPr>
                <w:rFonts w:ascii="Garamond" w:hAnsi="Garamond"/>
                <w:sz w:val="22"/>
                <w:szCs w:val="22"/>
              </w:rPr>
              <w:t>Other Statistics</w:t>
            </w:r>
          </w:p>
        </w:tc>
        <w:tc>
          <w:tcPr>
            <w:tcW w:w="2292"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w:t>
            </w:r>
          </w:p>
        </w:tc>
        <w:tc>
          <w:tcPr>
            <w:tcW w:w="2897" w:type="dxa"/>
            <w:shd w:val="clear" w:color="auto" w:fill="auto"/>
          </w:tcPr>
          <w:p w:rsidR="00B42460" w:rsidRPr="009622FC" w:rsidRDefault="00B42460" w:rsidP="00B42460">
            <w:pPr>
              <w:pStyle w:val="TableContent"/>
              <w:spacing w:before="0" w:after="0" w:line="276" w:lineRule="auto"/>
              <w:jc w:val="center"/>
              <w:rPr>
                <w:rFonts w:ascii="Garamond" w:hAnsi="Garamond"/>
                <w:sz w:val="22"/>
                <w:szCs w:val="22"/>
              </w:rPr>
            </w:pPr>
            <w:r w:rsidRPr="009622FC">
              <w:rPr>
                <w:rFonts w:ascii="Garamond" w:hAnsi="Garamond"/>
                <w:sz w:val="22"/>
                <w:szCs w:val="22"/>
              </w:rPr>
              <w:t>BPS</w:t>
            </w:r>
          </w:p>
        </w:tc>
      </w:tr>
    </w:tbl>
    <w:p w:rsidR="00B42460" w:rsidRPr="009622FC" w:rsidRDefault="00B42460" w:rsidP="00B42460">
      <w:pPr>
        <w:pStyle w:val="BodyText"/>
        <w:spacing w:before="0" w:line="276" w:lineRule="auto"/>
        <w:rPr>
          <w:rFonts w:ascii="Garamond" w:hAnsi="Garamond"/>
          <w:b/>
          <w:i/>
          <w:sz w:val="22"/>
        </w:rPr>
      </w:pPr>
    </w:p>
    <w:p w:rsidR="00B42460" w:rsidRPr="009622FC" w:rsidRDefault="00B42460" w:rsidP="00B42460">
      <w:pPr>
        <w:pStyle w:val="BodyText"/>
        <w:spacing w:before="0" w:line="276" w:lineRule="auto"/>
        <w:jc w:val="both"/>
        <w:rPr>
          <w:rFonts w:ascii="Garamond" w:hAnsi="Garamond"/>
          <w:sz w:val="22"/>
        </w:rPr>
      </w:pPr>
      <w:r w:rsidRPr="009622FC">
        <w:rPr>
          <w:rFonts w:ascii="Garamond" w:hAnsi="Garamond"/>
          <w:b/>
          <w:sz w:val="22"/>
        </w:rPr>
        <w:t>The data were processed in stages, including data input, cleaning, compilation, analysis</w:t>
      </w:r>
      <w:r w:rsidRPr="009622FC">
        <w:rPr>
          <w:rFonts w:ascii="Garamond" w:hAnsi="Garamond"/>
          <w:sz w:val="22"/>
        </w:rPr>
        <w:t xml:space="preserve"> </w:t>
      </w:r>
      <w:r w:rsidRPr="009622FC">
        <w:rPr>
          <w:rFonts w:ascii="Garamond" w:hAnsi="Garamond"/>
          <w:b/>
          <w:sz w:val="22"/>
        </w:rPr>
        <w:t>and interpretation</w:t>
      </w:r>
      <w:r w:rsidRPr="009622FC">
        <w:rPr>
          <w:rFonts w:ascii="Garamond" w:hAnsi="Garamond"/>
          <w:sz w:val="22"/>
        </w:rPr>
        <w:t>. The regional data input was performed by regional researchers and the national data input by the Seknas FITRA team. All data was compiled by area and year, and verified by cross-checking</w:t>
      </w:r>
      <w:r w:rsidRPr="009622FC">
        <w:rPr>
          <w:rFonts w:ascii="Garamond" w:hAnsi="Garamond"/>
        </w:rPr>
        <w:t xml:space="preserve"> </w:t>
      </w:r>
      <w:r w:rsidRPr="009622FC">
        <w:rPr>
          <w:rFonts w:ascii="Garamond" w:hAnsi="Garamond"/>
          <w:sz w:val="22"/>
        </w:rPr>
        <w:t>against ot</w:t>
      </w:r>
      <w:r w:rsidR="00230CE8">
        <w:rPr>
          <w:rFonts w:ascii="Garamond" w:hAnsi="Garamond"/>
          <w:sz w:val="22"/>
        </w:rPr>
        <w:t>her sources, before being analy</w:t>
      </w:r>
      <w:r w:rsidR="00230CE8">
        <w:rPr>
          <w:rFonts w:ascii="Garamond" w:hAnsi="Garamond"/>
          <w:sz w:val="22"/>
          <w:lang w:val="en-US"/>
        </w:rPr>
        <w:t>s</w:t>
      </w:r>
      <w:r w:rsidRPr="009622FC">
        <w:rPr>
          <w:rFonts w:ascii="Garamond" w:hAnsi="Garamond"/>
          <w:sz w:val="22"/>
        </w:rPr>
        <w:t>ed and interpreted.</w:t>
      </w:r>
    </w:p>
    <w:p w:rsidR="00B42460" w:rsidRPr="009622FC" w:rsidRDefault="00B42460" w:rsidP="001626A3">
      <w:pPr>
        <w:pStyle w:val="BodyText"/>
        <w:spacing w:before="0"/>
        <w:rPr>
          <w:rFonts w:ascii="Garamond" w:hAnsi="Garamond"/>
          <w:b/>
          <w:sz w:val="22"/>
        </w:rPr>
      </w:pPr>
    </w:p>
    <w:p w:rsidR="00B42460" w:rsidRPr="001626A3" w:rsidRDefault="00B42460" w:rsidP="001626A3">
      <w:pPr>
        <w:pStyle w:val="ListParagraph"/>
        <w:numPr>
          <w:ilvl w:val="1"/>
          <w:numId w:val="3"/>
        </w:numPr>
        <w:tabs>
          <w:tab w:val="left" w:pos="426"/>
        </w:tabs>
        <w:spacing w:after="0" w:line="240" w:lineRule="auto"/>
        <w:ind w:left="426" w:hanging="426"/>
        <w:jc w:val="both"/>
        <w:rPr>
          <w:rFonts w:ascii="Garamond" w:hAnsi="Garamond"/>
          <w:b/>
        </w:rPr>
      </w:pPr>
      <w:r w:rsidRPr="009622FC">
        <w:rPr>
          <w:rFonts w:ascii="Garamond" w:hAnsi="Garamond"/>
          <w:b/>
        </w:rPr>
        <w:t>Data Analysis</w:t>
      </w:r>
    </w:p>
    <w:p w:rsidR="001626A3" w:rsidRPr="009622FC" w:rsidRDefault="001626A3" w:rsidP="001626A3">
      <w:pPr>
        <w:pStyle w:val="ListParagraph"/>
        <w:tabs>
          <w:tab w:val="left" w:pos="426"/>
        </w:tabs>
        <w:spacing w:after="0" w:line="240" w:lineRule="auto"/>
        <w:ind w:left="426"/>
        <w:jc w:val="both"/>
        <w:rPr>
          <w:rFonts w:ascii="Garamond" w:hAnsi="Garamond"/>
          <w:b/>
        </w:rPr>
      </w:pPr>
    </w:p>
    <w:p w:rsidR="00B42460" w:rsidRPr="009622FC" w:rsidRDefault="00230CE8" w:rsidP="00B42460">
      <w:pPr>
        <w:pStyle w:val="BodyText"/>
        <w:spacing w:before="0" w:line="276" w:lineRule="auto"/>
        <w:jc w:val="both"/>
        <w:rPr>
          <w:rFonts w:ascii="Garamond" w:hAnsi="Garamond"/>
          <w:sz w:val="22"/>
        </w:rPr>
      </w:pPr>
      <w:r>
        <w:rPr>
          <w:rFonts w:ascii="Garamond" w:hAnsi="Garamond"/>
          <w:b/>
          <w:sz w:val="22"/>
        </w:rPr>
        <w:t>Budget policies were analy</w:t>
      </w:r>
      <w:r>
        <w:rPr>
          <w:rFonts w:ascii="Garamond" w:hAnsi="Garamond"/>
          <w:b/>
          <w:sz w:val="22"/>
          <w:lang w:val="en-US"/>
        </w:rPr>
        <w:t>s</w:t>
      </w:r>
      <w:r w:rsidR="00B42460" w:rsidRPr="009622FC">
        <w:rPr>
          <w:rFonts w:ascii="Garamond" w:hAnsi="Garamond"/>
          <w:b/>
          <w:sz w:val="22"/>
        </w:rPr>
        <w:t>ed by examining trends, proportions and correlations.</w:t>
      </w:r>
      <w:r w:rsidR="00B42460" w:rsidRPr="009622FC">
        <w:rPr>
          <w:rFonts w:ascii="Garamond" w:hAnsi="Garamond"/>
          <w:sz w:val="22"/>
        </w:rPr>
        <w:t xml:space="preserve"> This type of analysis has been employed by Seknas FITRA in its study of previous budgets</w:t>
      </w:r>
      <w:r w:rsidR="009622FC">
        <w:rPr>
          <w:rFonts w:ascii="Garamond" w:hAnsi="Garamond"/>
          <w:sz w:val="22"/>
          <w:lang w:val="en-US"/>
        </w:rPr>
        <w:t>.</w:t>
      </w:r>
      <w:r w:rsidR="00B42460" w:rsidRPr="009622FC">
        <w:rPr>
          <w:rStyle w:val="FootnoteReference"/>
          <w:rFonts w:ascii="Garamond" w:hAnsi="Garamond"/>
          <w:sz w:val="22"/>
        </w:rPr>
        <w:footnoteReference w:id="9"/>
      </w:r>
      <w:r w:rsidR="00B42460" w:rsidRPr="009622FC">
        <w:rPr>
          <w:rFonts w:ascii="Garamond" w:hAnsi="Garamond"/>
          <w:sz w:val="22"/>
        </w:rPr>
        <w:t xml:space="preserve"> Below is the scheme of data analysis employed in the current research. </w:t>
      </w: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spacing w:after="0"/>
        <w:rPr>
          <w:rFonts w:ascii="Garamond" w:hAnsi="Garamond"/>
          <w:b/>
          <w:lang w:val="en-US"/>
        </w:rPr>
      </w:pPr>
      <w:r w:rsidRPr="009622FC">
        <w:rPr>
          <w:rFonts w:ascii="Garamond" w:hAnsi="Garamond"/>
          <w:b/>
        </w:rPr>
        <w:br w:type="page"/>
      </w:r>
    </w:p>
    <w:p w:rsidR="00B42460" w:rsidRPr="009622FC" w:rsidRDefault="003B1A61" w:rsidP="00B42460">
      <w:pPr>
        <w:pStyle w:val="BodyText"/>
        <w:spacing w:before="0" w:line="276" w:lineRule="auto"/>
        <w:jc w:val="center"/>
        <w:rPr>
          <w:rFonts w:ascii="Garamond" w:hAnsi="Garamond"/>
          <w:b/>
          <w:sz w:val="22"/>
        </w:rPr>
      </w:pPr>
      <w:r w:rsidRPr="009622FC">
        <w:rPr>
          <w:rFonts w:ascii="Garamond" w:hAnsi="Garamond"/>
          <w:b/>
          <w:sz w:val="22"/>
        </w:rPr>
        <w:lastRenderedPageBreak/>
        <w:t xml:space="preserve">Diagram 1.2 </w:t>
      </w:r>
      <w:r w:rsidR="00063089">
        <w:rPr>
          <w:rFonts w:ascii="Garamond" w:hAnsi="Garamond"/>
          <w:b/>
          <w:sz w:val="22"/>
        </w:rPr>
        <w:t>Scheme for Analy</w:t>
      </w:r>
      <w:r w:rsidR="00063089">
        <w:rPr>
          <w:rFonts w:ascii="Garamond" w:hAnsi="Garamond"/>
          <w:b/>
          <w:sz w:val="22"/>
          <w:lang w:val="en-US"/>
        </w:rPr>
        <w:t>s</w:t>
      </w:r>
      <w:r w:rsidR="00B42460" w:rsidRPr="009622FC">
        <w:rPr>
          <w:rFonts w:ascii="Garamond" w:hAnsi="Garamond"/>
          <w:b/>
          <w:sz w:val="22"/>
        </w:rPr>
        <w:t>ing Land and Forest Governance Budgets</w:t>
      </w:r>
    </w:p>
    <w:p w:rsidR="00B42460" w:rsidRPr="009622FC" w:rsidRDefault="00B42460" w:rsidP="00B42460">
      <w:pPr>
        <w:pStyle w:val="BodyText"/>
        <w:spacing w:before="0" w:line="276" w:lineRule="auto"/>
        <w:jc w:val="both"/>
        <w:rPr>
          <w:rFonts w:ascii="Garamond" w:hAnsi="Garamond"/>
          <w:sz w:val="22"/>
        </w:rPr>
      </w:pPr>
    </w:p>
    <w:p w:rsidR="00B42460" w:rsidRPr="009622FC" w:rsidRDefault="00805913" w:rsidP="009622FC">
      <w:pPr>
        <w:pStyle w:val="BodyText"/>
        <w:tabs>
          <w:tab w:val="left" w:pos="4050"/>
        </w:tabs>
        <w:spacing w:before="0" w:line="276" w:lineRule="auto"/>
        <w:jc w:val="center"/>
        <w:rPr>
          <w:rFonts w:ascii="Garamond" w:hAnsi="Garamond"/>
          <w:sz w:val="22"/>
        </w:rPr>
      </w:pPr>
      <w:r w:rsidRPr="009622FC">
        <w:rPr>
          <w:rFonts w:ascii="Garamond" w:hAnsi="Garamond"/>
          <w:noProof/>
          <w:sz w:val="22"/>
          <w:lang w:val="en-US" w:eastAsia="en-US"/>
        </w:rPr>
        <w:drawing>
          <wp:inline distT="0" distB="0" distL="0" distR="0">
            <wp:extent cx="4590923" cy="2825274"/>
            <wp:effectExtent l="38100" t="0" r="19177"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1626A3">
      <w:pPr>
        <w:pStyle w:val="BodyText"/>
        <w:spacing w:before="0" w:line="276" w:lineRule="auto"/>
        <w:rPr>
          <w:rFonts w:ascii="Garamond" w:hAnsi="Garamond"/>
          <w:sz w:val="22"/>
        </w:rPr>
      </w:pPr>
      <w:r w:rsidRPr="009622FC">
        <w:rPr>
          <w:rFonts w:ascii="Garamond" w:hAnsi="Garamond"/>
        </w:rPr>
        <w:br/>
      </w:r>
      <w:r w:rsidRPr="009622FC">
        <w:rPr>
          <w:rFonts w:ascii="Garamond" w:hAnsi="Garamond"/>
          <w:b/>
          <w:sz w:val="22"/>
        </w:rPr>
        <w:t>Analysis of land and forest governance at the regional level focused on five functions</w:t>
      </w:r>
      <w:r w:rsidRPr="009622FC">
        <w:rPr>
          <w:rFonts w:ascii="Garamond" w:hAnsi="Garamond"/>
          <w:sz w:val="22"/>
        </w:rPr>
        <w:t xml:space="preserve">. These five functions were forestry, mining, environment, agriculture and spatial zoning. Each region has its own scheme to manage these five functions. Some combine several functions into one to enable management under one department and others assign some functions to their own departments. Appendix 1 describes the table on management of functions of the district- and provincial-level governments under study. </w:t>
      </w: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line="276" w:lineRule="auto"/>
        <w:jc w:val="both"/>
        <w:rPr>
          <w:rFonts w:ascii="Garamond" w:hAnsi="Garamond"/>
          <w:sz w:val="22"/>
        </w:rPr>
      </w:pPr>
    </w:p>
    <w:p w:rsidR="00B42460" w:rsidRPr="009622FC" w:rsidRDefault="00B42460" w:rsidP="00143FB6">
      <w:pPr>
        <w:pStyle w:val="Heading1"/>
        <w:spacing w:before="0" w:after="0" w:line="276" w:lineRule="auto"/>
        <w:rPr>
          <w:rFonts w:ascii="Garamond" w:hAnsi="Garamond"/>
          <w:color w:val="auto"/>
          <w:sz w:val="36"/>
          <w:szCs w:val="36"/>
        </w:rPr>
      </w:pPr>
      <w:r w:rsidRPr="009622FC">
        <w:rPr>
          <w:rFonts w:ascii="Garamond" w:hAnsi="Garamond"/>
          <w:color w:val="auto"/>
          <w:sz w:val="36"/>
          <w:szCs w:val="36"/>
        </w:rPr>
        <w:lastRenderedPageBreak/>
        <w:t xml:space="preserve">Part II                                                                                 Examining Regional Planning Policies on </w:t>
      </w:r>
      <w:r w:rsidRPr="009622FC">
        <w:rPr>
          <w:rFonts w:ascii="Garamond" w:hAnsi="Garamond"/>
          <w:color w:val="auto"/>
          <w:sz w:val="36"/>
          <w:szCs w:val="36"/>
        </w:rPr>
        <w:br/>
        <w:t xml:space="preserve">Land and Forest Governance in Indonesia </w:t>
      </w:r>
    </w:p>
    <w:p w:rsidR="00143FB6" w:rsidRDefault="00143FB6" w:rsidP="00143FB6">
      <w:pPr>
        <w:spacing w:after="0"/>
        <w:jc w:val="both"/>
        <w:rPr>
          <w:rFonts w:ascii="Garamond" w:hAnsi="Garamond"/>
          <w:b/>
          <w:u w:val="single"/>
          <w:lang w:val="en-US"/>
        </w:rPr>
      </w:pPr>
    </w:p>
    <w:p w:rsidR="00B42460" w:rsidRDefault="000D1F88" w:rsidP="00143FB6">
      <w:pPr>
        <w:spacing w:after="0"/>
        <w:jc w:val="both"/>
        <w:rPr>
          <w:rFonts w:ascii="Garamond" w:hAnsi="Garamond"/>
          <w:b/>
          <w:u w:val="single"/>
          <w:lang w:val="en-US"/>
        </w:rPr>
      </w:pPr>
      <w:r w:rsidRPr="009622FC">
        <w:rPr>
          <w:rFonts w:ascii="Garamond" w:hAnsi="Garamond"/>
          <w:b/>
          <w:u w:val="single"/>
        </w:rPr>
        <w:t>2.1 Regional Authority Over</w:t>
      </w:r>
      <w:r w:rsidR="00B42460" w:rsidRPr="009622FC">
        <w:rPr>
          <w:rFonts w:ascii="Garamond" w:hAnsi="Garamond"/>
          <w:b/>
          <w:u w:val="single"/>
        </w:rPr>
        <w:t xml:space="preserve"> Land and Forest Governance </w:t>
      </w:r>
    </w:p>
    <w:p w:rsidR="00143FB6" w:rsidRPr="00143FB6" w:rsidRDefault="00143FB6" w:rsidP="00143FB6">
      <w:pPr>
        <w:spacing w:after="0"/>
        <w:jc w:val="both"/>
        <w:rPr>
          <w:rFonts w:ascii="Garamond" w:hAnsi="Garamond"/>
          <w:b/>
          <w:u w:val="single"/>
          <w:lang w:val="en-US"/>
        </w:rPr>
      </w:pPr>
    </w:p>
    <w:p w:rsidR="00B42460" w:rsidRPr="009622FC" w:rsidRDefault="00143FB6" w:rsidP="00B42460">
      <w:pPr>
        <w:jc w:val="both"/>
        <w:rPr>
          <w:rFonts w:ascii="Garamond" w:hAnsi="Garamond"/>
          <w:lang w:val="en-US"/>
        </w:rPr>
      </w:pPr>
      <w:r>
        <w:rPr>
          <w:rFonts w:ascii="Garamond" w:hAnsi="Garamond"/>
          <w:b/>
        </w:rPr>
        <w:t>Decentrali</w:t>
      </w:r>
      <w:r>
        <w:rPr>
          <w:rFonts w:ascii="Garamond" w:hAnsi="Garamond"/>
          <w:b/>
          <w:lang w:val="en-US"/>
        </w:rPr>
        <w:t>s</w:t>
      </w:r>
      <w:r w:rsidR="00B42460" w:rsidRPr="009622FC">
        <w:rPr>
          <w:rFonts w:ascii="Garamond" w:hAnsi="Garamond"/>
          <w:b/>
        </w:rPr>
        <w:t xml:space="preserve">ation has brought changes to the way natural resources are managed in Indonesia. </w:t>
      </w:r>
      <w:r w:rsidR="00B42460" w:rsidRPr="009622FC">
        <w:rPr>
          <w:rFonts w:ascii="Garamond" w:hAnsi="Garamond"/>
        </w:rPr>
        <w:t>Currently, regional governments assign different values to regional revenue depending on the types and quantities of natural resources found in the area. The amount of regional revenue is obtained from a Profit-Sharing Fu</w:t>
      </w:r>
      <w:r w:rsidR="00AA0511" w:rsidRPr="009622FC">
        <w:rPr>
          <w:rFonts w:ascii="Garamond" w:hAnsi="Garamond"/>
        </w:rPr>
        <w:t xml:space="preserve">nd (DBH) </w:t>
      </w:r>
      <w:r w:rsidR="00B42460" w:rsidRPr="009622FC">
        <w:rPr>
          <w:rFonts w:ascii="Garamond" w:hAnsi="Garamond"/>
        </w:rPr>
        <w:t>as jointly managed by the central government. This state of affairs has given rise to a dichotomy in re</w:t>
      </w:r>
      <w:r w:rsidR="00230CE8">
        <w:rPr>
          <w:rFonts w:ascii="Garamond" w:hAnsi="Garamond"/>
        </w:rPr>
        <w:t>gional wealth in the decentrali</w:t>
      </w:r>
      <w:r w:rsidR="00230CE8">
        <w:rPr>
          <w:rFonts w:ascii="Garamond" w:hAnsi="Garamond"/>
          <w:lang w:val="en-US"/>
        </w:rPr>
        <w:t>s</w:t>
      </w:r>
      <w:r w:rsidR="00B42460" w:rsidRPr="009622FC">
        <w:rPr>
          <w:rFonts w:ascii="Garamond" w:hAnsi="Garamond"/>
        </w:rPr>
        <w:t xml:space="preserve">ation era. </w:t>
      </w:r>
      <w:r w:rsidR="00AA0511" w:rsidRPr="009622FC">
        <w:rPr>
          <w:rFonts w:ascii="Garamond" w:hAnsi="Garamond"/>
        </w:rPr>
        <w:t>So-called “rich”</w:t>
      </w:r>
      <w:r w:rsidR="00B42460" w:rsidRPr="009622FC">
        <w:rPr>
          <w:rFonts w:ascii="Garamond" w:hAnsi="Garamond"/>
        </w:rPr>
        <w:t xml:space="preserve"> regions tend to be associated with the natural resources they have i</w:t>
      </w:r>
      <w:r w:rsidR="00AA0511" w:rsidRPr="009622FC">
        <w:rPr>
          <w:rFonts w:ascii="Garamond" w:hAnsi="Garamond"/>
        </w:rPr>
        <w:t xml:space="preserve">n their possession, while </w:t>
      </w:r>
      <w:r w:rsidR="00B42460" w:rsidRPr="009622FC">
        <w:rPr>
          <w:rFonts w:ascii="Garamond" w:hAnsi="Garamond"/>
        </w:rPr>
        <w:t>re</w:t>
      </w:r>
      <w:r w:rsidR="00AA0511" w:rsidRPr="009622FC">
        <w:rPr>
          <w:rFonts w:ascii="Garamond" w:hAnsi="Garamond"/>
        </w:rPr>
        <w:t>gions with minimum</w:t>
      </w:r>
      <w:r w:rsidR="00B42460" w:rsidRPr="009622FC">
        <w:rPr>
          <w:rFonts w:ascii="Garamond" w:hAnsi="Garamond"/>
        </w:rPr>
        <w:t xml:space="preserve"> natural resources and less fertile lands are frequently referred to as </w:t>
      </w:r>
      <w:r w:rsidR="00AA0511" w:rsidRPr="009622FC">
        <w:rPr>
          <w:rFonts w:ascii="Garamond" w:hAnsi="Garamond"/>
        </w:rPr>
        <w:t>“poor”</w:t>
      </w:r>
      <w:r w:rsidR="00B42460" w:rsidRPr="009622FC">
        <w:rPr>
          <w:rFonts w:ascii="Garamond" w:hAnsi="Garamond"/>
        </w:rPr>
        <w:t xml:space="preserve"> regions. Therefore, </w:t>
      </w:r>
      <w:r w:rsidR="00230CE8">
        <w:rPr>
          <w:rFonts w:ascii="Garamond" w:hAnsi="Garamond"/>
        </w:rPr>
        <w:t>during the decentrali</w:t>
      </w:r>
      <w:r w:rsidR="00230CE8">
        <w:rPr>
          <w:rFonts w:ascii="Garamond" w:hAnsi="Garamond"/>
          <w:lang w:val="en-US"/>
        </w:rPr>
        <w:t>s</w:t>
      </w:r>
      <w:r w:rsidR="00AA0511" w:rsidRPr="009622FC">
        <w:rPr>
          <w:rFonts w:ascii="Garamond" w:hAnsi="Garamond"/>
        </w:rPr>
        <w:t>ation era</w:t>
      </w:r>
      <w:r w:rsidR="00B42460" w:rsidRPr="009622FC">
        <w:rPr>
          <w:rFonts w:ascii="Garamond" w:hAnsi="Garamond"/>
        </w:rPr>
        <w:t xml:space="preserve"> natural resources have been an important factor in the sustainability of a region's governance. </w:t>
      </w:r>
    </w:p>
    <w:p w:rsidR="00B42460" w:rsidRPr="009622FC" w:rsidRDefault="00230CE8" w:rsidP="00B42460">
      <w:pPr>
        <w:jc w:val="both"/>
        <w:rPr>
          <w:rFonts w:ascii="Garamond" w:hAnsi="Garamond"/>
        </w:rPr>
      </w:pPr>
      <w:r>
        <w:rPr>
          <w:rFonts w:ascii="Garamond" w:hAnsi="Garamond"/>
          <w:b/>
        </w:rPr>
        <w:t>Decentrali</w:t>
      </w:r>
      <w:r>
        <w:rPr>
          <w:rFonts w:ascii="Garamond" w:hAnsi="Garamond"/>
          <w:b/>
          <w:lang w:val="en-US"/>
        </w:rPr>
        <w:t>s</w:t>
      </w:r>
      <w:r w:rsidR="00B42460" w:rsidRPr="009622FC">
        <w:rPr>
          <w:rFonts w:ascii="Garamond" w:hAnsi="Garamond"/>
          <w:b/>
        </w:rPr>
        <w:t>ation has also led to important changes in the authority over managing natural resources</w:t>
      </w:r>
      <w:r w:rsidR="00B42460" w:rsidRPr="009622FC">
        <w:rPr>
          <w:rFonts w:ascii="Garamond" w:hAnsi="Garamond"/>
        </w:rPr>
        <w:t xml:space="preserve">. Regional governments have a </w:t>
      </w:r>
      <w:r>
        <w:rPr>
          <w:rFonts w:ascii="Garamond" w:hAnsi="Garamond"/>
        </w:rPr>
        <w:t>good deal of authority in utili</w:t>
      </w:r>
      <w:r>
        <w:rPr>
          <w:rFonts w:ascii="Garamond" w:hAnsi="Garamond"/>
          <w:lang w:val="en-US"/>
        </w:rPr>
        <w:t>s</w:t>
      </w:r>
      <w:r w:rsidR="00B42460" w:rsidRPr="009622FC">
        <w:rPr>
          <w:rFonts w:ascii="Garamond" w:hAnsi="Garamond"/>
        </w:rPr>
        <w:t xml:space="preserve">ing their natural resources, including to ensure that there have been efforts made to recover damaged natural resources. Although the authority over forestry function currently lies with the central government, regional governments are still involved in monitoring. The redistribution of </w:t>
      </w:r>
      <w:r w:rsidR="00AA0511" w:rsidRPr="009622FC">
        <w:rPr>
          <w:rFonts w:ascii="Garamond" w:hAnsi="Garamond"/>
        </w:rPr>
        <w:t>authority over natural resource</w:t>
      </w:r>
      <w:r w:rsidR="00B42460" w:rsidRPr="009622FC">
        <w:rPr>
          <w:rFonts w:ascii="Garamond" w:hAnsi="Garamond"/>
        </w:rPr>
        <w:t xml:space="preserve"> management presents regional governments with new challenges. In other words, the survival of natural resources relies on local leadership, along with its capabilities and capacities. Whether natural resources are being managed well or not is reflected in the regional vision and mission. </w:t>
      </w:r>
    </w:p>
    <w:p w:rsidR="00B42460" w:rsidRPr="009622FC" w:rsidRDefault="00B42460" w:rsidP="00B42460">
      <w:pPr>
        <w:autoSpaceDE w:val="0"/>
        <w:autoSpaceDN w:val="0"/>
        <w:adjustRightInd w:val="0"/>
        <w:spacing w:after="0"/>
        <w:jc w:val="both"/>
        <w:rPr>
          <w:rFonts w:ascii="Garamond" w:hAnsi="Garamond"/>
        </w:rPr>
      </w:pPr>
      <w:r w:rsidRPr="009622FC">
        <w:rPr>
          <w:rFonts w:ascii="Garamond" w:hAnsi="Garamond"/>
          <w:b/>
        </w:rPr>
        <w:t>Planning policies in the research areas tended to be exploitative of natural resources, while p</w:t>
      </w:r>
      <w:r w:rsidR="00AA0511" w:rsidRPr="009622FC">
        <w:rPr>
          <w:rFonts w:ascii="Garamond" w:hAnsi="Garamond"/>
          <w:b/>
        </w:rPr>
        <w:t>romising the concept of sustainable development</w:t>
      </w:r>
      <w:r w:rsidRPr="009622FC">
        <w:rPr>
          <w:rFonts w:ascii="Garamond" w:hAnsi="Garamond"/>
          <w:b/>
        </w:rPr>
        <w:t xml:space="preserve">. </w:t>
      </w:r>
      <w:r w:rsidRPr="009622FC">
        <w:rPr>
          <w:rFonts w:ascii="Garamond" w:hAnsi="Garamond"/>
        </w:rPr>
        <w:t xml:space="preserve">The planning documents of the three provinces clearly describe natural resources </w:t>
      </w:r>
      <w:r w:rsidR="00230CE8">
        <w:rPr>
          <w:rFonts w:ascii="Garamond" w:hAnsi="Garamond"/>
        </w:rPr>
        <w:t>as something that must be utili</w:t>
      </w:r>
      <w:r w:rsidR="00230CE8">
        <w:rPr>
          <w:rFonts w:ascii="Garamond" w:hAnsi="Garamond"/>
          <w:lang w:val="en-US"/>
        </w:rPr>
        <w:t>s</w:t>
      </w:r>
      <w:r w:rsidRPr="009622FC">
        <w:rPr>
          <w:rFonts w:ascii="Garamond" w:hAnsi="Garamond"/>
        </w:rPr>
        <w:t>ed optimally for development purposes</w:t>
      </w:r>
      <w:r w:rsidR="00AA0511" w:rsidRPr="009622FC">
        <w:rPr>
          <w:rFonts w:ascii="Garamond" w:hAnsi="Garamond"/>
        </w:rPr>
        <w:t>, using</w:t>
      </w:r>
      <w:r w:rsidRPr="009622FC">
        <w:rPr>
          <w:rFonts w:ascii="Garamond" w:hAnsi="Garamond"/>
        </w:rPr>
        <w:t xml:space="preserve"> the jargon of social welfare. The development plans of West Kalimantan province explicitly promote the increase of regional revenue from the land and forest sectors. The provinces of East Kalimantan and South Sumatra are the same. Their development plans are orient</w:t>
      </w:r>
      <w:r w:rsidR="00230CE8">
        <w:rPr>
          <w:rFonts w:ascii="Garamond" w:hAnsi="Garamond"/>
        </w:rPr>
        <w:t>ed toward the utili</w:t>
      </w:r>
      <w:r w:rsidR="00230CE8">
        <w:rPr>
          <w:rFonts w:ascii="Garamond" w:hAnsi="Garamond"/>
          <w:lang w:val="en-US"/>
        </w:rPr>
        <w:t>s</w:t>
      </w:r>
      <w:r w:rsidRPr="009622FC">
        <w:rPr>
          <w:rFonts w:ascii="Garamond" w:hAnsi="Garamond"/>
        </w:rPr>
        <w:t>ation of natural resources to their maximum potential. The development of one million hectares of oil palm land in East Kalimantan, and development of South Sumatra into a suppl</w:t>
      </w:r>
      <w:r w:rsidR="003E6557">
        <w:rPr>
          <w:rFonts w:ascii="Garamond" w:hAnsi="Garamond"/>
        </w:rPr>
        <w:t>ier of energy through the utili</w:t>
      </w:r>
      <w:r w:rsidR="003E6557">
        <w:rPr>
          <w:rFonts w:ascii="Garamond" w:hAnsi="Garamond"/>
          <w:lang w:val="en-US"/>
        </w:rPr>
        <w:t>s</w:t>
      </w:r>
      <w:r w:rsidRPr="009622FC">
        <w:rPr>
          <w:rFonts w:ascii="Garamond" w:hAnsi="Garamond"/>
        </w:rPr>
        <w:t xml:space="preserve">ation of land show how local leaders tend to manage their natural resources. </w:t>
      </w:r>
    </w:p>
    <w:p w:rsidR="00B42460" w:rsidRPr="009622FC" w:rsidRDefault="00B42460" w:rsidP="00B42460">
      <w:pPr>
        <w:autoSpaceDE w:val="0"/>
        <w:autoSpaceDN w:val="0"/>
        <w:adjustRightInd w:val="0"/>
        <w:spacing w:after="0"/>
        <w:jc w:val="both"/>
        <w:rPr>
          <w:rFonts w:ascii="Garamond" w:hAnsi="Garamond"/>
        </w:rPr>
      </w:pPr>
    </w:p>
    <w:p w:rsidR="00B42460" w:rsidRPr="009622FC" w:rsidRDefault="00B42460" w:rsidP="00B42460">
      <w:pPr>
        <w:autoSpaceDE w:val="0"/>
        <w:autoSpaceDN w:val="0"/>
        <w:adjustRightInd w:val="0"/>
        <w:spacing w:after="0"/>
        <w:jc w:val="both"/>
        <w:rPr>
          <w:rFonts w:ascii="Garamond" w:hAnsi="Garamond" w:cs="Lucida Sans"/>
          <w:color w:val="231F20"/>
          <w:lang w:val="en-US"/>
        </w:rPr>
      </w:pPr>
      <w:r w:rsidRPr="009622FC">
        <w:rPr>
          <w:rFonts w:ascii="Garamond" w:hAnsi="Garamond"/>
        </w:rPr>
        <w:t xml:space="preserve">These regional planning policies pose a serious threat to deforestation and land and forest degradation. Even the World Bank (2009) has mentioned that natural resources in Indonesia are rapidly dwindling without being offset by a proportionate amount of investments in production or human resources, which has led to large-scale economic loss; as a result </w:t>
      </w:r>
      <w:r w:rsidRPr="009622FC">
        <w:rPr>
          <w:rFonts w:ascii="Garamond" w:hAnsi="Garamond" w:cs="Lucida Sans"/>
          <w:color w:val="231F20"/>
        </w:rPr>
        <w:t>the cost of environmental damage will tend to rise in the future. Currently, the cost of environmental damage is equal to the the average annual growth rate of environmental damage</w:t>
      </w:r>
      <w:r w:rsidR="009622FC">
        <w:rPr>
          <w:rFonts w:ascii="Garamond" w:hAnsi="Garamond" w:cs="Lucida Sans"/>
          <w:color w:val="231F20"/>
          <w:lang w:val="en-US"/>
        </w:rPr>
        <w:t>.</w:t>
      </w:r>
      <w:r w:rsidRPr="009622FC">
        <w:rPr>
          <w:rStyle w:val="FootnoteReference"/>
          <w:rFonts w:ascii="Garamond" w:hAnsi="Garamond"/>
          <w:lang w:val="en-US"/>
        </w:rPr>
        <w:footnoteReference w:id="10"/>
      </w:r>
      <w:r w:rsidRPr="009622FC">
        <w:rPr>
          <w:rFonts w:ascii="Garamond" w:hAnsi="Garamond"/>
        </w:rPr>
        <w:t xml:space="preserve"> </w:t>
      </w:r>
    </w:p>
    <w:p w:rsidR="00B42460" w:rsidRPr="009622FC" w:rsidRDefault="00B42460" w:rsidP="00B42460">
      <w:pPr>
        <w:autoSpaceDE w:val="0"/>
        <w:autoSpaceDN w:val="0"/>
        <w:adjustRightInd w:val="0"/>
        <w:spacing w:after="0"/>
        <w:rPr>
          <w:rFonts w:ascii="Garamond" w:hAnsi="Garamond"/>
          <w:lang w:val="en-US"/>
        </w:rPr>
      </w:pPr>
    </w:p>
    <w:p w:rsidR="009622FC" w:rsidRDefault="009622FC" w:rsidP="00B42460">
      <w:pPr>
        <w:jc w:val="center"/>
        <w:rPr>
          <w:rFonts w:ascii="Garamond" w:hAnsi="Garamond" w:cs="AGaramondPro-Regular"/>
          <w:b/>
          <w:lang w:val="en-US"/>
        </w:rPr>
      </w:pPr>
    </w:p>
    <w:p w:rsidR="00143FB6" w:rsidRDefault="00143FB6" w:rsidP="00B42460">
      <w:pPr>
        <w:jc w:val="center"/>
        <w:rPr>
          <w:rFonts w:ascii="Garamond" w:hAnsi="Garamond" w:cs="AGaramondPro-Regular"/>
          <w:b/>
          <w:lang w:val="en-US"/>
        </w:rPr>
      </w:pPr>
    </w:p>
    <w:p w:rsidR="00143FB6" w:rsidRPr="00143FB6" w:rsidRDefault="00143FB6" w:rsidP="00B42460">
      <w:pPr>
        <w:jc w:val="center"/>
        <w:rPr>
          <w:rFonts w:ascii="Garamond" w:hAnsi="Garamond" w:cs="AGaramondPro-Regular"/>
          <w:b/>
          <w:lang w:val="en-US"/>
        </w:rPr>
      </w:pPr>
    </w:p>
    <w:p w:rsidR="00B42460" w:rsidRPr="009622FC" w:rsidRDefault="00B42460" w:rsidP="00B42460">
      <w:pPr>
        <w:jc w:val="center"/>
        <w:rPr>
          <w:rFonts w:ascii="Garamond" w:hAnsi="Garamond" w:cs="AGaramondPro-Regular"/>
          <w:b/>
          <w:lang w:val="en-US"/>
        </w:rPr>
      </w:pPr>
      <w:r w:rsidRPr="009622FC">
        <w:rPr>
          <w:rFonts w:ascii="Garamond" w:hAnsi="Garamond" w:cs="AGaramondPro-Regular"/>
          <w:b/>
        </w:rPr>
        <w:lastRenderedPageBreak/>
        <w:t xml:space="preserve">Table 2.1 Regional Planning Policies </w:t>
      </w:r>
      <w:r w:rsidR="00BA7A6F" w:rsidRPr="009622FC">
        <w:rPr>
          <w:rFonts w:ascii="Garamond" w:hAnsi="Garamond" w:cs="AGaramondPro-Regular"/>
          <w:b/>
        </w:rPr>
        <w:t>on Natural Resource</w:t>
      </w:r>
      <w:r w:rsidR="00143FB6">
        <w:rPr>
          <w:rFonts w:ascii="Garamond" w:hAnsi="Garamond" w:cs="AGaramondPro-Regular"/>
          <w:b/>
        </w:rPr>
        <w:t xml:space="preserve"> Utili</w:t>
      </w:r>
      <w:r w:rsidR="00143FB6">
        <w:rPr>
          <w:rFonts w:ascii="Garamond" w:hAnsi="Garamond" w:cs="AGaramondPro-Regular"/>
          <w:b/>
          <w:lang w:val="en-US"/>
        </w:rPr>
        <w:t>s</w:t>
      </w:r>
      <w:r w:rsidRPr="009622FC">
        <w:rPr>
          <w:rFonts w:ascii="Garamond" w:hAnsi="Garamond" w:cs="AGaramondPro-Regular"/>
          <w:b/>
        </w:rPr>
        <w:t xml:space="preserve">ation as a </w:t>
      </w:r>
      <w:r w:rsidRPr="009622FC">
        <w:rPr>
          <w:rFonts w:ascii="Garamond" w:hAnsi="Garamond" w:cs="AGaramondPro-Regular"/>
          <w:b/>
        </w:rPr>
        <w:br/>
        <w:t>Basis for Regional Economic Growth</w:t>
      </w:r>
    </w:p>
    <w:tbl>
      <w:tblPr>
        <w:tblW w:w="974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441"/>
        <w:gridCol w:w="2744"/>
        <w:gridCol w:w="2772"/>
        <w:gridCol w:w="2790"/>
      </w:tblGrid>
      <w:tr w:rsidR="00B42460" w:rsidRPr="009622FC" w:rsidTr="001626A3">
        <w:trPr>
          <w:trHeight w:val="359"/>
          <w:jc w:val="center"/>
        </w:trPr>
        <w:tc>
          <w:tcPr>
            <w:tcW w:w="1441" w:type="dxa"/>
            <w:tcBorders>
              <w:top w:val="single" w:sz="4" w:space="0" w:color="FFFFFF"/>
              <w:left w:val="single" w:sz="4" w:space="0" w:color="FFFFFF"/>
              <w:bottom w:val="single" w:sz="4" w:space="0" w:color="FFFFFF"/>
              <w:right w:val="nil"/>
            </w:tcBorders>
            <w:shd w:val="clear" w:color="auto" w:fill="4BACC6"/>
            <w:vAlign w:val="center"/>
          </w:tcPr>
          <w:p w:rsidR="00B42460" w:rsidRPr="009622FC" w:rsidRDefault="00B42460" w:rsidP="00B42460">
            <w:pPr>
              <w:spacing w:after="0"/>
              <w:jc w:val="center"/>
              <w:rPr>
                <w:rFonts w:ascii="Garamond" w:hAnsi="Garamond" w:cs="AGaramondPro-Regular"/>
                <w:b/>
                <w:bCs/>
                <w:color w:val="FFFFFF"/>
                <w:lang w:val="en-US"/>
              </w:rPr>
            </w:pPr>
            <w:r w:rsidRPr="009622FC">
              <w:rPr>
                <w:rFonts w:ascii="Garamond" w:hAnsi="Garamond" w:cs="AGaramondPro-Regular"/>
                <w:b/>
                <w:bCs/>
                <w:color w:val="FFFFFF"/>
              </w:rPr>
              <w:t>Policy Orientation</w:t>
            </w:r>
          </w:p>
        </w:tc>
        <w:tc>
          <w:tcPr>
            <w:tcW w:w="2744" w:type="dxa"/>
            <w:tcBorders>
              <w:top w:val="single" w:sz="4" w:space="0" w:color="FFFFFF"/>
              <w:left w:val="nil"/>
              <w:bottom w:val="single" w:sz="4" w:space="0" w:color="FFFFFF"/>
              <w:right w:val="nil"/>
            </w:tcBorders>
            <w:shd w:val="clear" w:color="auto" w:fill="4BACC6"/>
            <w:vAlign w:val="center"/>
          </w:tcPr>
          <w:p w:rsidR="00B42460" w:rsidRPr="009622FC" w:rsidRDefault="00B42460" w:rsidP="00B42460">
            <w:pPr>
              <w:spacing w:after="0"/>
              <w:jc w:val="center"/>
              <w:rPr>
                <w:rFonts w:ascii="Garamond" w:hAnsi="Garamond" w:cs="AGaramondPro-Regular"/>
                <w:b/>
                <w:bCs/>
                <w:color w:val="FFFFFF"/>
                <w:szCs w:val="20"/>
                <w:lang w:val="en-US"/>
              </w:rPr>
            </w:pPr>
            <w:r w:rsidRPr="009622FC">
              <w:rPr>
                <w:rFonts w:ascii="Garamond" w:hAnsi="Garamond" w:cs="AGaramondPro-Regular"/>
                <w:b/>
                <w:bCs/>
                <w:color w:val="FFFFFF"/>
                <w:szCs w:val="20"/>
              </w:rPr>
              <w:t>South Sumatra</w:t>
            </w:r>
          </w:p>
        </w:tc>
        <w:tc>
          <w:tcPr>
            <w:tcW w:w="2772" w:type="dxa"/>
            <w:tcBorders>
              <w:top w:val="single" w:sz="4" w:space="0" w:color="FFFFFF"/>
              <w:left w:val="nil"/>
              <w:bottom w:val="single" w:sz="4" w:space="0" w:color="FFFFFF"/>
              <w:right w:val="nil"/>
            </w:tcBorders>
            <w:shd w:val="clear" w:color="auto" w:fill="4BACC6"/>
            <w:vAlign w:val="center"/>
          </w:tcPr>
          <w:p w:rsidR="00B42460" w:rsidRPr="009622FC" w:rsidRDefault="00B42460" w:rsidP="00B42460">
            <w:pPr>
              <w:spacing w:after="0"/>
              <w:jc w:val="center"/>
              <w:rPr>
                <w:rFonts w:ascii="Garamond" w:hAnsi="Garamond" w:cs="AGaramondPro-Regular"/>
                <w:b/>
                <w:bCs/>
                <w:color w:val="FFFFFF"/>
                <w:szCs w:val="20"/>
                <w:lang w:val="en-US"/>
              </w:rPr>
            </w:pPr>
            <w:r w:rsidRPr="009622FC">
              <w:rPr>
                <w:rFonts w:ascii="Garamond" w:hAnsi="Garamond" w:cs="AGaramondPro-Regular"/>
                <w:b/>
                <w:bCs/>
                <w:color w:val="FFFFFF"/>
                <w:szCs w:val="20"/>
              </w:rPr>
              <w:t>East Kalimantan</w:t>
            </w:r>
          </w:p>
        </w:tc>
        <w:tc>
          <w:tcPr>
            <w:tcW w:w="2790" w:type="dxa"/>
            <w:tcBorders>
              <w:top w:val="single" w:sz="4" w:space="0" w:color="FFFFFF"/>
              <w:left w:val="nil"/>
              <w:bottom w:val="single" w:sz="4" w:space="0" w:color="FFFFFF"/>
              <w:right w:val="single" w:sz="4" w:space="0" w:color="FFFFFF"/>
            </w:tcBorders>
            <w:shd w:val="clear" w:color="auto" w:fill="4BACC6"/>
            <w:vAlign w:val="center"/>
          </w:tcPr>
          <w:p w:rsidR="00B42460" w:rsidRPr="009622FC" w:rsidRDefault="00B42460" w:rsidP="00B42460">
            <w:pPr>
              <w:spacing w:after="0"/>
              <w:jc w:val="center"/>
              <w:rPr>
                <w:rFonts w:ascii="Garamond" w:hAnsi="Garamond" w:cs="AGaramondPro-Regular"/>
                <w:b/>
                <w:bCs/>
                <w:color w:val="FFFFFF"/>
                <w:szCs w:val="20"/>
                <w:lang w:val="en-US"/>
              </w:rPr>
            </w:pPr>
            <w:r w:rsidRPr="009622FC">
              <w:rPr>
                <w:rFonts w:ascii="Garamond" w:hAnsi="Garamond" w:cs="AGaramondPro-Regular"/>
                <w:b/>
                <w:bCs/>
                <w:color w:val="FFFFFF"/>
                <w:szCs w:val="20"/>
              </w:rPr>
              <w:t>West Kalimantan</w:t>
            </w:r>
          </w:p>
        </w:tc>
      </w:tr>
      <w:tr w:rsidR="00B42460" w:rsidRPr="009622FC" w:rsidTr="001626A3">
        <w:trPr>
          <w:trHeight w:val="1070"/>
          <w:jc w:val="center"/>
        </w:trPr>
        <w:tc>
          <w:tcPr>
            <w:tcW w:w="1441" w:type="dxa"/>
            <w:tcBorders>
              <w:top w:val="single" w:sz="4" w:space="0" w:color="FFFFFF"/>
              <w:left w:val="single" w:sz="4" w:space="0" w:color="FFFFFF"/>
              <w:bottom w:val="single" w:sz="4" w:space="0" w:color="FFFFFF"/>
              <w:right w:val="single" w:sz="4" w:space="0" w:color="FFFFFF"/>
            </w:tcBorders>
            <w:shd w:val="clear" w:color="auto" w:fill="4BACC6"/>
            <w:vAlign w:val="center"/>
          </w:tcPr>
          <w:p w:rsidR="00B42460" w:rsidRPr="009622FC" w:rsidRDefault="00B42460" w:rsidP="009126F0">
            <w:pPr>
              <w:spacing w:after="0" w:line="240" w:lineRule="auto"/>
              <w:jc w:val="center"/>
              <w:rPr>
                <w:rFonts w:ascii="Garamond" w:hAnsi="Garamond" w:cs="AGaramondPro-Regular"/>
                <w:b/>
                <w:bCs/>
                <w:color w:val="FFFFFF"/>
                <w:lang w:val="en-US"/>
              </w:rPr>
            </w:pPr>
            <w:r w:rsidRPr="009622FC">
              <w:rPr>
                <w:rFonts w:ascii="Garamond" w:hAnsi="Garamond" w:cs="AGaramondPro-Regular"/>
                <w:b/>
                <w:bCs/>
                <w:color w:val="FFFFFF"/>
              </w:rPr>
              <w:t>Vision</w:t>
            </w:r>
          </w:p>
        </w:tc>
        <w:tc>
          <w:tcPr>
            <w:tcW w:w="2744" w:type="dxa"/>
            <w:tcBorders>
              <w:top w:val="single" w:sz="4" w:space="0" w:color="FFFFFF"/>
              <w:left w:val="single" w:sz="4" w:space="0" w:color="FFFFFF"/>
              <w:bottom w:val="single" w:sz="4" w:space="0" w:color="FFFFFF"/>
              <w:right w:val="single" w:sz="4" w:space="0" w:color="FFFFFF"/>
            </w:tcBorders>
            <w:shd w:val="clear" w:color="auto" w:fill="B8CCE4"/>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‘Prosperous and Advanced South Sumatra as a Skilled and Cultured Society’</w:t>
            </w:r>
          </w:p>
        </w:tc>
        <w:tc>
          <w:tcPr>
            <w:tcW w:w="2772" w:type="dxa"/>
            <w:tcBorders>
              <w:top w:val="single" w:sz="4" w:space="0" w:color="FFFFFF"/>
              <w:left w:val="single" w:sz="4" w:space="0" w:color="FFFFFF"/>
              <w:bottom w:val="single" w:sz="4" w:space="0" w:color="FFFFFF"/>
              <w:right w:val="single" w:sz="4" w:space="0" w:color="FFFFFF"/>
            </w:tcBorders>
            <w:shd w:val="clear" w:color="auto" w:fill="B8CCE4"/>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‘East Kalimantan as a Prominent Center of Agroindustry and Energy Toward a Just and Prosperous Society’</w:t>
            </w:r>
          </w:p>
        </w:tc>
        <w:tc>
          <w:tcPr>
            <w:tcW w:w="2790" w:type="dxa"/>
            <w:tcBorders>
              <w:top w:val="single" w:sz="4" w:space="0" w:color="FFFFFF"/>
              <w:left w:val="single" w:sz="4" w:space="0" w:color="FFFFFF"/>
              <w:bottom w:val="single" w:sz="4" w:space="0" w:color="FFFFFF"/>
              <w:right w:val="single" w:sz="4" w:space="0" w:color="FFFFFF"/>
            </w:tcBorders>
            <w:shd w:val="clear" w:color="auto" w:fill="B8CCE4"/>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‘A West Kalimantan Population That Is Godly, Healthy, Skillful, Safe, Cultured and Prosperous’</w:t>
            </w:r>
          </w:p>
        </w:tc>
      </w:tr>
      <w:tr w:rsidR="00B42460" w:rsidRPr="009622FC" w:rsidTr="001626A3">
        <w:trPr>
          <w:jc w:val="center"/>
        </w:trPr>
        <w:tc>
          <w:tcPr>
            <w:tcW w:w="1441" w:type="dxa"/>
            <w:tcBorders>
              <w:top w:val="single" w:sz="4" w:space="0" w:color="FFFFFF"/>
              <w:left w:val="single" w:sz="4" w:space="0" w:color="FFFFFF"/>
              <w:bottom w:val="single" w:sz="4" w:space="0" w:color="FFFFFF"/>
              <w:right w:val="single" w:sz="4" w:space="0" w:color="FFFFFF"/>
            </w:tcBorders>
            <w:shd w:val="clear" w:color="auto" w:fill="4BACC6"/>
          </w:tcPr>
          <w:p w:rsidR="00B42460" w:rsidRPr="009622FC" w:rsidRDefault="00B42460" w:rsidP="009126F0">
            <w:pPr>
              <w:spacing w:after="0" w:line="240" w:lineRule="auto"/>
              <w:jc w:val="center"/>
              <w:rPr>
                <w:rFonts w:ascii="Garamond" w:hAnsi="Garamond" w:cs="AGaramondPro-Regular"/>
                <w:b/>
                <w:bCs/>
                <w:color w:val="FFFFFF"/>
              </w:rPr>
            </w:pPr>
            <w:r w:rsidRPr="009622FC">
              <w:rPr>
                <w:rFonts w:ascii="Garamond" w:hAnsi="Garamond" w:cs="AGaramondPro-Regular"/>
                <w:b/>
                <w:bCs/>
                <w:color w:val="FFFFFF"/>
              </w:rPr>
              <w:t>Mission rel</w:t>
            </w:r>
            <w:r w:rsidR="003E6557">
              <w:rPr>
                <w:rFonts w:ascii="Garamond" w:hAnsi="Garamond" w:cs="AGaramondPro-Regular"/>
                <w:b/>
                <w:bCs/>
                <w:color w:val="FFFFFF"/>
              </w:rPr>
              <w:t>ated to natural resources utili</w:t>
            </w:r>
            <w:r w:rsidR="003E6557">
              <w:rPr>
                <w:rFonts w:ascii="Garamond" w:hAnsi="Garamond" w:cs="AGaramondPro-Regular"/>
                <w:b/>
                <w:bCs/>
                <w:color w:val="FFFFFF"/>
                <w:lang w:val="en-US"/>
              </w:rPr>
              <w:t>s</w:t>
            </w:r>
            <w:r w:rsidRPr="009622FC">
              <w:rPr>
                <w:rFonts w:ascii="Garamond" w:hAnsi="Garamond" w:cs="AGaramondPro-Regular"/>
                <w:b/>
                <w:bCs/>
                <w:color w:val="FFFFFF"/>
              </w:rPr>
              <w:t xml:space="preserve">ation </w:t>
            </w:r>
          </w:p>
        </w:tc>
        <w:tc>
          <w:tcPr>
            <w:tcW w:w="2744" w:type="dxa"/>
            <w:tcBorders>
              <w:top w:val="single" w:sz="4" w:space="0" w:color="FFFFFF"/>
              <w:left w:val="single" w:sz="4" w:space="0" w:color="FFFFFF"/>
              <w:bottom w:val="single" w:sz="4" w:space="0" w:color="FFFFFF"/>
              <w:right w:val="single" w:sz="4" w:space="0" w:color="FFFFFF"/>
            </w:tcBorders>
            <w:shd w:val="clear" w:color="auto" w:fill="B8CCE4"/>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Skillfu</w:t>
            </w:r>
            <w:r w:rsidR="003E6557">
              <w:rPr>
                <w:rFonts w:ascii="Garamond" w:hAnsi="Garamond"/>
                <w:sz w:val="20"/>
                <w:szCs w:val="20"/>
              </w:rPr>
              <w:t>lly, wisely and prudently utili</w:t>
            </w:r>
            <w:r w:rsidR="003E6557">
              <w:rPr>
                <w:rFonts w:ascii="Garamond" w:hAnsi="Garamond"/>
                <w:sz w:val="20"/>
                <w:szCs w:val="20"/>
                <w:lang w:val="en-US"/>
              </w:rPr>
              <w:t>s</w:t>
            </w:r>
            <w:r w:rsidRPr="009622FC">
              <w:rPr>
                <w:rFonts w:ascii="Garamond" w:hAnsi="Garamond"/>
                <w:sz w:val="20"/>
                <w:szCs w:val="20"/>
              </w:rPr>
              <w:t>ing mining and energy resources (fossil and renewable) for the betterment of society at large</w:t>
            </w:r>
          </w:p>
        </w:tc>
        <w:tc>
          <w:tcPr>
            <w:tcW w:w="2772" w:type="dxa"/>
            <w:tcBorders>
              <w:top w:val="single" w:sz="4" w:space="0" w:color="FFFFFF"/>
              <w:left w:val="single" w:sz="4" w:space="0" w:color="FFFFFF"/>
              <w:bottom w:val="single" w:sz="4" w:space="0" w:color="FFFFFF"/>
              <w:right w:val="single" w:sz="4" w:space="0" w:color="FFFFFF"/>
            </w:tcBorders>
            <w:shd w:val="clear" w:color="auto" w:fill="B8CCE4"/>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Presenting an economic structure that is competitive and pro-democracy under the concept of sustainable development</w:t>
            </w:r>
          </w:p>
        </w:tc>
        <w:tc>
          <w:tcPr>
            <w:tcW w:w="2790" w:type="dxa"/>
            <w:tcBorders>
              <w:top w:val="single" w:sz="4" w:space="0" w:color="FFFFFF"/>
              <w:left w:val="single" w:sz="4" w:space="0" w:color="FFFFFF"/>
              <w:bottom w:val="single" w:sz="4" w:space="0" w:color="FFFFFF"/>
              <w:right w:val="single" w:sz="4" w:space="0" w:color="FFFFFF"/>
            </w:tcBorders>
            <w:shd w:val="clear" w:color="auto" w:fill="B8CCE4"/>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Implementing equity and equality in sustainable development to reduce the disparities between regions with a continued regard for ecological aspects in the use of natural resources</w:t>
            </w:r>
          </w:p>
        </w:tc>
      </w:tr>
      <w:tr w:rsidR="00B42460" w:rsidRPr="009622FC" w:rsidTr="001626A3">
        <w:trPr>
          <w:jc w:val="center"/>
        </w:trPr>
        <w:tc>
          <w:tcPr>
            <w:tcW w:w="1441" w:type="dxa"/>
            <w:tcBorders>
              <w:top w:val="single" w:sz="4" w:space="0" w:color="FFFFFF"/>
              <w:left w:val="single" w:sz="4" w:space="0" w:color="FFFFFF"/>
              <w:bottom w:val="single" w:sz="4" w:space="0" w:color="FFFFFF"/>
              <w:right w:val="single" w:sz="4" w:space="0" w:color="FFFFFF"/>
            </w:tcBorders>
            <w:shd w:val="clear" w:color="auto" w:fill="4BACC6"/>
          </w:tcPr>
          <w:p w:rsidR="00B42460" w:rsidRPr="009622FC" w:rsidRDefault="00B42460" w:rsidP="009126F0">
            <w:pPr>
              <w:spacing w:after="0" w:line="240" w:lineRule="auto"/>
              <w:jc w:val="center"/>
              <w:rPr>
                <w:rFonts w:ascii="Garamond" w:hAnsi="Garamond" w:cs="AGaramondPro-Regular"/>
                <w:b/>
                <w:bCs/>
                <w:color w:val="FFFFFF"/>
                <w:lang w:val="en-US"/>
              </w:rPr>
            </w:pPr>
            <w:r w:rsidRPr="009622FC">
              <w:rPr>
                <w:rFonts w:ascii="Garamond" w:hAnsi="Garamond" w:cs="AGaramondPro-Regular"/>
                <w:b/>
                <w:bCs/>
                <w:color w:val="FFFFFF"/>
              </w:rPr>
              <w:t>Goals</w:t>
            </w:r>
          </w:p>
        </w:tc>
        <w:tc>
          <w:tcPr>
            <w:tcW w:w="2744" w:type="dxa"/>
            <w:tcBorders>
              <w:top w:val="single" w:sz="4" w:space="0" w:color="FFFFFF"/>
              <w:left w:val="single" w:sz="4" w:space="0" w:color="FFFFFF"/>
              <w:bottom w:val="single" w:sz="4" w:space="0" w:color="FFFFFF"/>
              <w:right w:val="single" w:sz="4" w:space="0" w:color="FFFFFF"/>
            </w:tcBorders>
            <w:shd w:val="clear" w:color="auto" w:fill="B6DDE8"/>
            <w:vAlign w:val="center"/>
          </w:tcPr>
          <w:p w:rsidR="00B42460" w:rsidRPr="009622FC" w:rsidRDefault="00B42460" w:rsidP="009126F0">
            <w:pPr>
              <w:spacing w:after="0" w:line="240" w:lineRule="auto"/>
              <w:rPr>
                <w:rFonts w:ascii="Garamond" w:hAnsi="Garamond"/>
                <w:sz w:val="20"/>
                <w:szCs w:val="20"/>
              </w:rPr>
            </w:pPr>
            <w:r w:rsidRPr="009622FC">
              <w:rPr>
                <w:rFonts w:ascii="Garamond" w:hAnsi="Garamond"/>
                <w:sz w:val="20"/>
                <w:szCs w:val="20"/>
              </w:rPr>
              <w:t>Become a regional supplier of sustainable energy resources through the use of coal, petroleum, natural gas, geothermal energy, methane gas and renewable energy.</w:t>
            </w:r>
          </w:p>
          <w:p w:rsidR="00B42460" w:rsidRPr="009622FC" w:rsidRDefault="00B42460" w:rsidP="009126F0">
            <w:pPr>
              <w:spacing w:after="0" w:line="240" w:lineRule="auto"/>
              <w:rPr>
                <w:rFonts w:ascii="Garamond" w:hAnsi="Garamond"/>
                <w:sz w:val="20"/>
                <w:szCs w:val="20"/>
              </w:rPr>
            </w:pPr>
          </w:p>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Become a region that is w</w:t>
            </w:r>
            <w:r w:rsidR="003E6557">
              <w:rPr>
                <w:rFonts w:ascii="Garamond" w:hAnsi="Garamond"/>
                <w:sz w:val="20"/>
                <w:szCs w:val="20"/>
              </w:rPr>
              <w:t>ise in the management and utili</w:t>
            </w:r>
            <w:r w:rsidR="003E6557">
              <w:rPr>
                <w:rFonts w:ascii="Garamond" w:hAnsi="Garamond"/>
                <w:sz w:val="20"/>
                <w:szCs w:val="20"/>
                <w:lang w:val="en-US"/>
              </w:rPr>
              <w:t>s</w:t>
            </w:r>
            <w:r w:rsidRPr="009622FC">
              <w:rPr>
                <w:rFonts w:ascii="Garamond" w:hAnsi="Garamond"/>
                <w:sz w:val="20"/>
                <w:szCs w:val="20"/>
              </w:rPr>
              <w:t>ation of energy, water, forests and other natural resources for the public good</w:t>
            </w:r>
          </w:p>
        </w:tc>
        <w:tc>
          <w:tcPr>
            <w:tcW w:w="2772" w:type="dxa"/>
            <w:tcBorders>
              <w:top w:val="single" w:sz="4" w:space="0" w:color="FFFFFF"/>
              <w:left w:val="single" w:sz="4" w:space="0" w:color="FFFFFF"/>
              <w:bottom w:val="single" w:sz="4" w:space="0" w:color="FFFFFF"/>
              <w:right w:val="single" w:sz="4" w:space="0" w:color="FFFFFF"/>
            </w:tcBorders>
            <w:shd w:val="clear" w:color="auto" w:fill="B6DDE8"/>
            <w:vAlign w:val="center"/>
          </w:tcPr>
          <w:p w:rsidR="00B42460" w:rsidRPr="009622FC" w:rsidRDefault="00B42460" w:rsidP="009126F0">
            <w:pPr>
              <w:spacing w:after="0" w:line="240" w:lineRule="auto"/>
              <w:rPr>
                <w:rFonts w:ascii="Garamond" w:hAnsi="Garamond" w:cs="AGaramondPro-Regular"/>
                <w:sz w:val="20"/>
                <w:szCs w:val="20"/>
              </w:rPr>
            </w:pPr>
            <w:r w:rsidRPr="009622FC">
              <w:rPr>
                <w:rFonts w:ascii="Garamond" w:hAnsi="Garamond"/>
                <w:sz w:val="20"/>
                <w:szCs w:val="20"/>
              </w:rPr>
              <w:t>Improve public welfare by increasing the reliability of the economy based on agribusiness and ecotourism while creating a sustainable environment by enforcing the regulations governing land and natural resource use and coordinating spatial planning</w:t>
            </w:r>
          </w:p>
        </w:tc>
        <w:tc>
          <w:tcPr>
            <w:tcW w:w="2790" w:type="dxa"/>
            <w:tcBorders>
              <w:top w:val="single" w:sz="4" w:space="0" w:color="FFFFFF"/>
              <w:left w:val="single" w:sz="4" w:space="0" w:color="FFFFFF"/>
              <w:bottom w:val="single" w:sz="4" w:space="0" w:color="FFFFFF"/>
              <w:right w:val="single" w:sz="4" w:space="0" w:color="FFFFFF"/>
            </w:tcBorders>
            <w:shd w:val="clear" w:color="auto" w:fill="B6DDE8"/>
            <w:vAlign w:val="center"/>
          </w:tcPr>
          <w:p w:rsidR="00B42460" w:rsidRPr="009622FC" w:rsidRDefault="00B42460" w:rsidP="009126F0">
            <w:pPr>
              <w:spacing w:after="0" w:line="240" w:lineRule="auto"/>
              <w:rPr>
                <w:rFonts w:ascii="Garamond" w:hAnsi="Garamond"/>
                <w:sz w:val="20"/>
                <w:szCs w:val="20"/>
              </w:rPr>
            </w:pPr>
            <w:r w:rsidRPr="009622FC">
              <w:rPr>
                <w:rFonts w:ascii="Garamond" w:hAnsi="Garamond"/>
                <w:sz w:val="20"/>
                <w:szCs w:val="20"/>
              </w:rPr>
              <w:t>Encourage an increase in revenue, especially from the agricultural, plantation and mining sectors</w:t>
            </w:r>
          </w:p>
          <w:p w:rsidR="00B42460" w:rsidRPr="009622FC" w:rsidRDefault="00B42460" w:rsidP="009126F0">
            <w:pPr>
              <w:spacing w:after="0" w:line="240" w:lineRule="auto"/>
              <w:rPr>
                <w:rFonts w:ascii="Garamond" w:hAnsi="Garamond"/>
                <w:sz w:val="20"/>
                <w:szCs w:val="20"/>
              </w:rPr>
            </w:pPr>
          </w:p>
          <w:p w:rsidR="00B42460" w:rsidRPr="009622FC" w:rsidRDefault="00B42460" w:rsidP="009126F0">
            <w:pPr>
              <w:spacing w:after="0" w:line="240" w:lineRule="auto"/>
              <w:rPr>
                <w:rFonts w:ascii="Garamond" w:hAnsi="Garamond"/>
                <w:sz w:val="20"/>
                <w:szCs w:val="20"/>
              </w:rPr>
            </w:pPr>
            <w:r w:rsidRPr="009622FC">
              <w:rPr>
                <w:rFonts w:ascii="Garamond" w:hAnsi="Garamond"/>
                <w:sz w:val="20"/>
                <w:szCs w:val="20"/>
              </w:rPr>
              <w:t>Provide infrastructure that supports the production and processing of agricultural, forestry, fishery and products of natural resources</w:t>
            </w:r>
          </w:p>
          <w:p w:rsidR="00B42460" w:rsidRPr="009622FC" w:rsidRDefault="00B42460" w:rsidP="009126F0">
            <w:pPr>
              <w:spacing w:after="0" w:line="240" w:lineRule="auto"/>
              <w:rPr>
                <w:rFonts w:ascii="Garamond" w:hAnsi="Garamond" w:cs="AGaramondPro-Regular"/>
                <w:sz w:val="20"/>
                <w:szCs w:val="20"/>
              </w:rPr>
            </w:pPr>
          </w:p>
        </w:tc>
      </w:tr>
      <w:tr w:rsidR="00B42460" w:rsidRPr="009622FC" w:rsidTr="001626A3">
        <w:trPr>
          <w:trHeight w:val="2942"/>
          <w:jc w:val="center"/>
        </w:trPr>
        <w:tc>
          <w:tcPr>
            <w:tcW w:w="1441" w:type="dxa"/>
            <w:tcBorders>
              <w:top w:val="single" w:sz="4" w:space="0" w:color="FFFFFF"/>
              <w:left w:val="single" w:sz="4" w:space="0" w:color="FFFFFF"/>
              <w:bottom w:val="single" w:sz="4" w:space="0" w:color="FFFFFF"/>
              <w:right w:val="single" w:sz="4" w:space="0" w:color="FFFFFF"/>
            </w:tcBorders>
            <w:shd w:val="clear" w:color="auto" w:fill="4BACC6"/>
          </w:tcPr>
          <w:p w:rsidR="00B42460" w:rsidRPr="009622FC" w:rsidRDefault="00B42460" w:rsidP="009126F0">
            <w:pPr>
              <w:spacing w:after="0" w:line="240" w:lineRule="auto"/>
              <w:jc w:val="center"/>
              <w:rPr>
                <w:rFonts w:ascii="Garamond" w:hAnsi="Garamond" w:cs="AGaramondPro-Regular"/>
                <w:b/>
                <w:bCs/>
                <w:color w:val="FFFFFF"/>
                <w:lang w:val="en-US"/>
              </w:rPr>
            </w:pPr>
            <w:r w:rsidRPr="009622FC">
              <w:rPr>
                <w:rFonts w:ascii="Garamond" w:hAnsi="Garamond" w:cs="AGaramondPro-Regular"/>
                <w:b/>
                <w:bCs/>
                <w:color w:val="FFFFFF"/>
              </w:rPr>
              <w:t>Programs</w:t>
            </w:r>
          </w:p>
        </w:tc>
        <w:tc>
          <w:tcPr>
            <w:tcW w:w="2744" w:type="dxa"/>
            <w:tcBorders>
              <w:top w:val="single" w:sz="4" w:space="0" w:color="FFFFFF"/>
              <w:left w:val="single" w:sz="4" w:space="0" w:color="FFFFFF"/>
              <w:bottom w:val="single" w:sz="4" w:space="0" w:color="FFFFFF"/>
              <w:right w:val="single" w:sz="4" w:space="0" w:color="FFFFFF"/>
            </w:tcBorders>
            <w:shd w:val="clear" w:color="auto" w:fill="DAEEF3"/>
          </w:tcPr>
          <w:p w:rsidR="00B42460" w:rsidRPr="009622FC" w:rsidRDefault="00B42460" w:rsidP="009126F0">
            <w:pPr>
              <w:pStyle w:val="ListParagraph"/>
              <w:numPr>
                <w:ilvl w:val="0"/>
                <w:numId w:val="44"/>
              </w:numPr>
              <w:spacing w:after="0" w:line="240" w:lineRule="auto"/>
              <w:ind w:left="341" w:hanging="283"/>
              <w:rPr>
                <w:rFonts w:ascii="Garamond" w:hAnsi="Garamond"/>
                <w:sz w:val="20"/>
                <w:szCs w:val="20"/>
              </w:rPr>
            </w:pPr>
            <w:r w:rsidRPr="009622FC">
              <w:rPr>
                <w:rFonts w:ascii="Garamond" w:hAnsi="Garamond"/>
                <w:sz w:val="20"/>
                <w:szCs w:val="20"/>
              </w:rPr>
              <w:t>Food Storage Barn Program</w:t>
            </w:r>
          </w:p>
          <w:p w:rsidR="00B42460" w:rsidRPr="009622FC" w:rsidRDefault="00BA7A6F" w:rsidP="009126F0">
            <w:pPr>
              <w:pStyle w:val="ListParagraph"/>
              <w:numPr>
                <w:ilvl w:val="0"/>
                <w:numId w:val="44"/>
              </w:numPr>
              <w:spacing w:after="0" w:line="240" w:lineRule="auto"/>
              <w:ind w:left="341" w:hanging="283"/>
              <w:rPr>
                <w:rFonts w:ascii="Garamond" w:hAnsi="Garamond"/>
                <w:sz w:val="20"/>
                <w:szCs w:val="20"/>
              </w:rPr>
            </w:pPr>
            <w:r w:rsidRPr="009622FC">
              <w:rPr>
                <w:rFonts w:ascii="Garamond" w:hAnsi="Garamond"/>
                <w:sz w:val="20"/>
                <w:szCs w:val="20"/>
              </w:rPr>
              <w:t>Program to Increase agricultural productivity and p</w:t>
            </w:r>
            <w:r w:rsidR="00B42460" w:rsidRPr="009622FC">
              <w:rPr>
                <w:rFonts w:ascii="Garamond" w:hAnsi="Garamond"/>
                <w:sz w:val="20"/>
                <w:szCs w:val="20"/>
              </w:rPr>
              <w:t>roduction</w:t>
            </w:r>
          </w:p>
          <w:p w:rsidR="00B42460" w:rsidRPr="009622FC" w:rsidRDefault="00B42460" w:rsidP="009126F0">
            <w:pPr>
              <w:pStyle w:val="ListParagraph"/>
              <w:numPr>
                <w:ilvl w:val="0"/>
                <w:numId w:val="44"/>
              </w:numPr>
              <w:spacing w:after="0" w:line="240" w:lineRule="auto"/>
              <w:ind w:left="341" w:hanging="283"/>
              <w:rPr>
                <w:rFonts w:ascii="Garamond" w:hAnsi="Garamond"/>
                <w:sz w:val="20"/>
                <w:szCs w:val="20"/>
              </w:rPr>
            </w:pPr>
            <w:r w:rsidRPr="009622FC">
              <w:rPr>
                <w:rFonts w:ascii="Garamond" w:hAnsi="Garamond"/>
                <w:sz w:val="20"/>
                <w:szCs w:val="20"/>
              </w:rPr>
              <w:t>Energy Storage Program</w:t>
            </w:r>
          </w:p>
          <w:p w:rsidR="00B42460" w:rsidRPr="009622FC" w:rsidRDefault="00BA7A6F" w:rsidP="009126F0">
            <w:pPr>
              <w:pStyle w:val="ListParagraph"/>
              <w:numPr>
                <w:ilvl w:val="0"/>
                <w:numId w:val="44"/>
              </w:numPr>
              <w:spacing w:after="0" w:line="240" w:lineRule="auto"/>
              <w:ind w:left="341" w:hanging="283"/>
              <w:rPr>
                <w:rFonts w:ascii="Garamond" w:hAnsi="Garamond"/>
                <w:sz w:val="20"/>
                <w:szCs w:val="20"/>
              </w:rPr>
            </w:pPr>
            <w:r w:rsidRPr="009622FC">
              <w:rPr>
                <w:rFonts w:ascii="Garamond" w:hAnsi="Garamond"/>
                <w:sz w:val="20"/>
                <w:szCs w:val="20"/>
              </w:rPr>
              <w:t>Program promoting investment in the mining s</w:t>
            </w:r>
            <w:r w:rsidR="009126F0">
              <w:rPr>
                <w:rFonts w:ascii="Garamond" w:hAnsi="Garamond"/>
                <w:sz w:val="20"/>
                <w:szCs w:val="20"/>
              </w:rPr>
              <w:t>ector</w:t>
            </w:r>
          </w:p>
          <w:p w:rsidR="00B42460" w:rsidRPr="009622FC" w:rsidRDefault="00B42460" w:rsidP="009126F0">
            <w:pPr>
              <w:spacing w:after="0" w:line="240" w:lineRule="auto"/>
              <w:ind w:left="341" w:hanging="283"/>
              <w:rPr>
                <w:rFonts w:ascii="Garamond" w:hAnsi="Garamond"/>
                <w:sz w:val="20"/>
                <w:szCs w:val="20"/>
              </w:rPr>
            </w:pPr>
          </w:p>
        </w:tc>
        <w:tc>
          <w:tcPr>
            <w:tcW w:w="2772" w:type="dxa"/>
            <w:tcBorders>
              <w:top w:val="single" w:sz="4" w:space="0" w:color="FFFFFF"/>
              <w:left w:val="single" w:sz="4" w:space="0" w:color="FFFFFF"/>
              <w:bottom w:val="single" w:sz="4" w:space="0" w:color="FFFFFF"/>
              <w:right w:val="single" w:sz="4" w:space="0" w:color="FFFFFF"/>
            </w:tcBorders>
            <w:shd w:val="clear" w:color="auto" w:fill="DAEEF3"/>
            <w:vAlign w:val="center"/>
          </w:tcPr>
          <w:p w:rsidR="00B42460" w:rsidRPr="009622FC" w:rsidRDefault="00B42460" w:rsidP="009126F0">
            <w:pPr>
              <w:pStyle w:val="ListParagraph"/>
              <w:numPr>
                <w:ilvl w:val="0"/>
                <w:numId w:val="45"/>
              </w:numPr>
              <w:spacing w:after="0" w:line="240" w:lineRule="auto"/>
              <w:ind w:left="336" w:hanging="283"/>
              <w:rPr>
                <w:rFonts w:ascii="Garamond" w:hAnsi="Garamond"/>
                <w:sz w:val="20"/>
                <w:szCs w:val="20"/>
              </w:rPr>
            </w:pPr>
            <w:r w:rsidRPr="009622FC">
              <w:rPr>
                <w:rFonts w:ascii="Garamond" w:hAnsi="Garamond"/>
                <w:sz w:val="20"/>
                <w:szCs w:val="20"/>
              </w:rPr>
              <w:t>Program to develop one million hectares of land for oil palm plantations</w:t>
            </w:r>
          </w:p>
          <w:p w:rsidR="00B42460" w:rsidRPr="009622FC" w:rsidRDefault="00B42460" w:rsidP="009126F0">
            <w:pPr>
              <w:pStyle w:val="ListParagraph"/>
              <w:numPr>
                <w:ilvl w:val="0"/>
                <w:numId w:val="45"/>
              </w:numPr>
              <w:spacing w:after="0" w:line="240" w:lineRule="auto"/>
              <w:ind w:left="336" w:hanging="283"/>
              <w:rPr>
                <w:rFonts w:ascii="Garamond" w:hAnsi="Garamond"/>
                <w:sz w:val="20"/>
                <w:szCs w:val="20"/>
              </w:rPr>
            </w:pPr>
            <w:r w:rsidRPr="009622FC">
              <w:rPr>
                <w:rFonts w:ascii="Garamond" w:hAnsi="Garamond"/>
                <w:sz w:val="20"/>
                <w:szCs w:val="20"/>
              </w:rPr>
              <w:t>Program to increase agricultural/plantation production for the achievement of rice self-sufficiency through the expansion of land for paddy fields</w:t>
            </w:r>
          </w:p>
          <w:p w:rsidR="00B42460" w:rsidRPr="009622FC" w:rsidRDefault="003E6557" w:rsidP="009126F0">
            <w:pPr>
              <w:pStyle w:val="ListParagraph"/>
              <w:numPr>
                <w:ilvl w:val="0"/>
                <w:numId w:val="45"/>
              </w:numPr>
              <w:spacing w:after="0" w:line="240" w:lineRule="auto"/>
              <w:ind w:left="336" w:hanging="283"/>
              <w:rPr>
                <w:rFonts w:ascii="Garamond" w:hAnsi="Garamond"/>
                <w:sz w:val="20"/>
                <w:szCs w:val="20"/>
              </w:rPr>
            </w:pPr>
            <w:r>
              <w:rPr>
                <w:rFonts w:ascii="Garamond" w:hAnsi="Garamond"/>
                <w:sz w:val="20"/>
                <w:szCs w:val="20"/>
              </w:rPr>
              <w:t>Program for the utili</w:t>
            </w:r>
            <w:r>
              <w:rPr>
                <w:rFonts w:ascii="Garamond" w:hAnsi="Garamond"/>
                <w:sz w:val="20"/>
                <w:szCs w:val="20"/>
                <w:lang w:val="en-US"/>
              </w:rPr>
              <w:t>s</w:t>
            </w:r>
            <w:r w:rsidR="00B42460" w:rsidRPr="009622FC">
              <w:rPr>
                <w:rFonts w:ascii="Garamond" w:hAnsi="Garamond"/>
                <w:sz w:val="20"/>
                <w:szCs w:val="20"/>
              </w:rPr>
              <w:t>ation of potential forest resources</w:t>
            </w:r>
          </w:p>
          <w:p w:rsidR="00B42460" w:rsidRPr="009622FC" w:rsidRDefault="00B42460" w:rsidP="009126F0">
            <w:pPr>
              <w:spacing w:after="0" w:line="240" w:lineRule="auto"/>
              <w:ind w:left="336" w:hanging="283"/>
              <w:rPr>
                <w:rFonts w:ascii="Garamond" w:hAnsi="Garamond" w:cs="AGaramondPro-Regular"/>
                <w:sz w:val="20"/>
                <w:szCs w:val="20"/>
              </w:rPr>
            </w:pPr>
          </w:p>
        </w:tc>
        <w:tc>
          <w:tcPr>
            <w:tcW w:w="2790" w:type="dxa"/>
            <w:tcBorders>
              <w:top w:val="single" w:sz="4" w:space="0" w:color="FFFFFF"/>
              <w:left w:val="single" w:sz="4" w:space="0" w:color="FFFFFF"/>
              <w:bottom w:val="single" w:sz="4" w:space="0" w:color="FFFFFF"/>
              <w:right w:val="single" w:sz="4" w:space="0" w:color="FFFFFF"/>
            </w:tcBorders>
            <w:shd w:val="clear" w:color="auto" w:fill="DAEEF3"/>
          </w:tcPr>
          <w:p w:rsidR="00B42460" w:rsidRPr="009622FC" w:rsidRDefault="00B42460" w:rsidP="009126F0">
            <w:pPr>
              <w:pStyle w:val="ListParagraph"/>
              <w:numPr>
                <w:ilvl w:val="0"/>
                <w:numId w:val="45"/>
              </w:numPr>
              <w:spacing w:after="0" w:line="240" w:lineRule="auto"/>
              <w:ind w:left="253" w:hanging="253"/>
              <w:rPr>
                <w:rFonts w:ascii="Garamond" w:hAnsi="Garamond"/>
                <w:sz w:val="20"/>
                <w:szCs w:val="20"/>
              </w:rPr>
            </w:pPr>
            <w:r w:rsidRPr="009622FC">
              <w:rPr>
                <w:rFonts w:ascii="Garamond" w:hAnsi="Garamond"/>
                <w:sz w:val="20"/>
                <w:szCs w:val="20"/>
              </w:rPr>
              <w:t>Program to increase the production, productivity, and quality of food crops to achieve self-sufficiency through the establishment of ‘rice estates’</w:t>
            </w:r>
          </w:p>
          <w:p w:rsidR="00B42460" w:rsidRPr="009622FC" w:rsidRDefault="00B42460" w:rsidP="009126F0">
            <w:pPr>
              <w:pStyle w:val="ListParagraph"/>
              <w:numPr>
                <w:ilvl w:val="0"/>
                <w:numId w:val="45"/>
              </w:numPr>
              <w:spacing w:after="0" w:line="240" w:lineRule="auto"/>
              <w:ind w:left="253" w:hanging="253"/>
              <w:rPr>
                <w:rFonts w:ascii="Garamond" w:hAnsi="Garamond" w:cs="AGaramondPro-Regular"/>
                <w:sz w:val="20"/>
                <w:szCs w:val="20"/>
              </w:rPr>
            </w:pPr>
            <w:r w:rsidRPr="009622FC">
              <w:rPr>
                <w:rFonts w:ascii="Garamond" w:hAnsi="Garamond"/>
                <w:sz w:val="20"/>
                <w:szCs w:val="20"/>
              </w:rPr>
              <w:t>Program to establish forest lands through the inventory of potential forest resources</w:t>
            </w:r>
          </w:p>
        </w:tc>
      </w:tr>
    </w:tbl>
    <w:p w:rsidR="00B42460" w:rsidRPr="00143FB6" w:rsidRDefault="00325726" w:rsidP="00143FB6">
      <w:pPr>
        <w:ind w:hanging="360"/>
        <w:jc w:val="both"/>
        <w:rPr>
          <w:rFonts w:ascii="Garamond" w:hAnsi="Garamond" w:cs="AGaramondPro-Regular"/>
          <w:sz w:val="20"/>
          <w:szCs w:val="20"/>
        </w:rPr>
      </w:pPr>
      <w:r w:rsidRPr="00143FB6">
        <w:rPr>
          <w:rFonts w:ascii="Garamond" w:hAnsi="Garamond"/>
          <w:noProof/>
          <w:sz w:val="20"/>
          <w:szCs w:val="20"/>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21.8pt;width:251.6pt;height:199.75pt;z-index:25165619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">
            <v:textbox>
              <w:txbxContent>
                <w:p w:rsidR="005E5906" w:rsidRPr="009126F0" w:rsidRDefault="005E5906" w:rsidP="00B42460">
                  <w:pPr>
                    <w:shd w:val="clear" w:color="auto" w:fill="B8CCE4"/>
                    <w:jc w:val="both"/>
                    <w:rPr>
                      <w:rFonts w:ascii="Garamond" w:hAnsi="Garamond"/>
                      <w:b/>
                      <w:sz w:val="20"/>
                      <w:lang w:val="en-US"/>
                    </w:rPr>
                  </w:pPr>
                  <w:r w:rsidRPr="009126F0">
                    <w:rPr>
                      <w:rFonts w:ascii="Garamond" w:hAnsi="Garamond"/>
                      <w:b/>
                      <w:sz w:val="20"/>
                      <w:lang w:val="en-US"/>
                    </w:rPr>
                    <w:t xml:space="preserve">Box 2.1 The Formation of a Monitoring Commission </w:t>
                  </w:r>
                  <w:r w:rsidRPr="009126F0">
                    <w:rPr>
                      <w:rFonts w:ascii="Garamond" w:hAnsi="Garamond"/>
                      <w:b/>
                      <w:sz w:val="20"/>
                      <w:lang w:val="en-US"/>
                    </w:rPr>
                    <w:br/>
                    <w:t xml:space="preserve">for Reclamation and Post-Mining Operations in </w:t>
                  </w:r>
                  <w:r w:rsidRPr="009126F0">
                    <w:rPr>
                      <w:rFonts w:ascii="Garamond" w:hAnsi="Garamond"/>
                      <w:b/>
                      <w:sz w:val="20"/>
                      <w:lang w:val="en-US"/>
                    </w:rPr>
                    <w:br/>
                    <w:t xml:space="preserve">East Kalimantan </w:t>
                  </w:r>
                </w:p>
                <w:p w:rsidR="005E5906" w:rsidRPr="009126F0" w:rsidRDefault="005E5906" w:rsidP="00B42460">
                  <w:pPr>
                    <w:shd w:val="clear" w:color="auto" w:fill="B8CCE4"/>
                    <w:jc w:val="both"/>
                    <w:rPr>
                      <w:rFonts w:ascii="Garamond" w:hAnsi="Garamond"/>
                      <w:sz w:val="20"/>
                    </w:rPr>
                  </w:pPr>
                  <w:r w:rsidRPr="009126F0">
                    <w:rPr>
                      <w:rFonts w:ascii="Garamond" w:hAnsi="Garamond"/>
                      <w:sz w:val="20"/>
                      <w:lang w:val="en-US"/>
                    </w:rPr>
                    <w:t xml:space="preserve">The problem of limited numbers of mining inspectors and the increase in cases of environmental damage in East Kalimantan prompted the Regional Representatives Council (DPRD) to initiate the issuance of a regional regulation (Perda) on Conducting Reclamation and Post-Mining Operations. In this regulation, there is a mandate for provincial governments to form a Monitoring Commission for Reclamation and Post-Mining Operations. Currently, these commissions have not yet been established as mandated in the four months after the regional regulation was issued, or by March/April 2014. </w:t>
                  </w:r>
                </w:p>
              </w:txbxContent>
            </v:textbox>
            <w10:wrap type="square" anchorx="margin"/>
          </v:shape>
        </w:pict>
      </w:r>
      <w:r w:rsidR="009126F0" w:rsidRPr="00143FB6">
        <w:rPr>
          <w:rFonts w:ascii="Garamond" w:hAnsi="Garamond" w:cs="AGaramondPro-Regular"/>
          <w:sz w:val="20"/>
          <w:szCs w:val="20"/>
        </w:rPr>
        <w:t>Source</w:t>
      </w:r>
      <w:r w:rsidR="00B42460" w:rsidRPr="00143FB6">
        <w:rPr>
          <w:rFonts w:ascii="Garamond" w:hAnsi="Garamond" w:cs="AGaramondPro-Regular"/>
          <w:sz w:val="20"/>
          <w:szCs w:val="20"/>
        </w:rPr>
        <w:t>: RPJMD and RKPD (2013) of each region</w:t>
      </w:r>
    </w:p>
    <w:p w:rsidR="00B42460" w:rsidRPr="009622FC" w:rsidRDefault="00B42460" w:rsidP="00B42460">
      <w:pPr>
        <w:jc w:val="both"/>
        <w:rPr>
          <w:rFonts w:ascii="Garamond" w:hAnsi="Garamond" w:cs="AGaramondPro-Regular"/>
        </w:rPr>
      </w:pPr>
      <w:r w:rsidRPr="009622FC">
        <w:rPr>
          <w:rFonts w:ascii="Garamond" w:hAnsi="Garamond" w:cs="AGaramondPro-Regular"/>
        </w:rPr>
        <w:t xml:space="preserve">Aside from provincial governments, district-level governments </w:t>
      </w:r>
      <w:r w:rsidR="00A904E4" w:rsidRPr="009622FC">
        <w:rPr>
          <w:rFonts w:ascii="Garamond" w:hAnsi="Garamond" w:cs="AGaramondPro-Regular"/>
        </w:rPr>
        <w:t xml:space="preserve">also </w:t>
      </w:r>
      <w:r w:rsidR="003E6557">
        <w:rPr>
          <w:rFonts w:ascii="Garamond" w:hAnsi="Garamond" w:cs="AGaramondPro-Regular"/>
        </w:rPr>
        <w:t>appear to be in a race to utili</w:t>
      </w:r>
      <w:r w:rsidR="003E6557">
        <w:rPr>
          <w:rFonts w:ascii="Garamond" w:hAnsi="Garamond" w:cs="AGaramondPro-Regular"/>
          <w:lang w:val="en-US"/>
        </w:rPr>
        <w:t>s</w:t>
      </w:r>
      <w:r w:rsidRPr="009622FC">
        <w:rPr>
          <w:rFonts w:ascii="Garamond" w:hAnsi="Garamond" w:cs="AGaramondPro-Regular"/>
        </w:rPr>
        <w:t xml:space="preserve">e their natural resources. District-level governments in possession of natural resources have clearly made these sectors the basis of their economic growth. An example is Musi Rawas district, which has established its local vision for the 2011-2015 period as </w:t>
      </w:r>
      <w:r w:rsidRPr="009622FC">
        <w:rPr>
          <w:rFonts w:ascii="Garamond" w:hAnsi="Garamond" w:cs="AGaramondPro-Regular"/>
          <w:b/>
        </w:rPr>
        <w:t>“</w:t>
      </w:r>
      <w:r w:rsidRPr="009622FC">
        <w:rPr>
          <w:rFonts w:ascii="Garamond" w:hAnsi="Garamond" w:cs="AGaramondPro-Regular"/>
          <w:b/>
          <w:i/>
        </w:rPr>
        <w:t>Presenting the Agropolitan Earth and Mining Zone For Musi Rawas Darussalam</w:t>
      </w:r>
      <w:r w:rsidRPr="009622FC">
        <w:rPr>
          <w:rFonts w:ascii="Garamond" w:hAnsi="Garamond" w:cs="AGaramondPro-Regular"/>
          <w:b/>
        </w:rPr>
        <w:t>”</w:t>
      </w:r>
      <w:r w:rsidRPr="009622FC">
        <w:rPr>
          <w:rFonts w:ascii="Garamond" w:hAnsi="Garamond" w:cs="AGaramondPro-Regular"/>
        </w:rPr>
        <w:t>. One of its missions is to develop its mining and environment sectors. Other districts have established similar visions and missions, such as the districts of Musi Banyuasin,</w:t>
      </w:r>
      <w:r w:rsidRPr="009622FC">
        <w:rPr>
          <w:rFonts w:ascii="Garamond" w:hAnsi="Garamond"/>
        </w:rPr>
        <w:t xml:space="preserve"> </w:t>
      </w:r>
      <w:r w:rsidRPr="009622FC">
        <w:rPr>
          <w:rFonts w:ascii="Garamond" w:hAnsi="Garamond" w:cs="AGaramondPro-Regular"/>
        </w:rPr>
        <w:t xml:space="preserve">Bulungan and Berau. </w:t>
      </w:r>
    </w:p>
    <w:p w:rsidR="00B42460" w:rsidRPr="009622FC" w:rsidRDefault="00B42460" w:rsidP="00B42460">
      <w:pPr>
        <w:spacing w:after="0"/>
        <w:jc w:val="both"/>
        <w:rPr>
          <w:rFonts w:ascii="Garamond" w:hAnsi="Garamond"/>
        </w:rPr>
      </w:pPr>
      <w:r w:rsidRPr="009622FC">
        <w:rPr>
          <w:rFonts w:ascii="Garamond" w:hAnsi="Garamond"/>
          <w:b/>
        </w:rPr>
        <w:lastRenderedPageBreak/>
        <w:t xml:space="preserve">Authority over land and forest governance is still chaotic because it is not balanced by effective monitoring. </w:t>
      </w:r>
      <w:r w:rsidRPr="009622FC">
        <w:rPr>
          <w:rFonts w:ascii="Garamond" w:hAnsi="Garamond"/>
        </w:rPr>
        <w:t>The authority over mi</w:t>
      </w:r>
      <w:r w:rsidR="00A904E4" w:rsidRPr="009622FC">
        <w:rPr>
          <w:rFonts w:ascii="Garamond" w:hAnsi="Garamond"/>
        </w:rPr>
        <w:t>ning and plantation affairs has</w:t>
      </w:r>
      <w:r w:rsidRPr="009622FC">
        <w:rPr>
          <w:rFonts w:ascii="Garamond" w:hAnsi="Garamond"/>
        </w:rPr>
        <w:t xml:space="preserve"> been transferred to regional governments. In general, this transfer of authority from the central government to regional governments has been responded to by an increase in the issuance of business permits for mining and plantations, particularly oil palm plantations. Meanwhile, the authority of the central government to monitor regional authority is inadequate. Although the exact number of mining inspectors and civil servant investigators (PPNS) both at the national and regional levels is not known, it can be assumed to be inadequate for the task of monitoring land and forests</w:t>
      </w:r>
      <w:r w:rsidR="009126F0">
        <w:rPr>
          <w:rFonts w:ascii="Garamond" w:hAnsi="Garamond"/>
          <w:lang w:val="en-US"/>
        </w:rPr>
        <w:t>.</w:t>
      </w:r>
      <w:r w:rsidRPr="009622FC">
        <w:rPr>
          <w:rStyle w:val="FootnoteReference"/>
          <w:rFonts w:ascii="Garamond" w:hAnsi="Garamond"/>
          <w:lang w:val="en-US"/>
        </w:rPr>
        <w:footnoteReference w:id="11"/>
      </w:r>
      <w:r w:rsidRPr="009622FC">
        <w:rPr>
          <w:rFonts w:ascii="Garamond" w:hAnsi="Garamond"/>
        </w:rPr>
        <w:t xml:space="preserve"> The central government has not established any scheme to optimally monitor forest damage resulting from mining and plantation activities. The limited number of supervisory resources for mining activities has been a serious consideration of the provincial government of East Kalimantan as indicated by its action of</w:t>
      </w:r>
      <w:r w:rsidR="00A904E4" w:rsidRPr="009622FC">
        <w:rPr>
          <w:rFonts w:ascii="Garamond" w:hAnsi="Garamond"/>
        </w:rPr>
        <w:t xml:space="preserve"> issuing regional regulations (Perda) on reclamation and post-mining o</w:t>
      </w:r>
      <w:r w:rsidRPr="009622FC">
        <w:rPr>
          <w:rFonts w:ascii="Garamond" w:hAnsi="Garamond"/>
        </w:rPr>
        <w:t>perations</w:t>
      </w:r>
      <w:r w:rsidR="009126F0">
        <w:rPr>
          <w:rFonts w:ascii="Garamond" w:hAnsi="Garamond"/>
          <w:lang w:val="en-US"/>
        </w:rPr>
        <w:t>.</w:t>
      </w:r>
      <w:r w:rsidRPr="009622FC">
        <w:rPr>
          <w:rStyle w:val="FootnoteReference"/>
          <w:rFonts w:ascii="Garamond" w:hAnsi="Garamond"/>
          <w:lang w:val="en-US"/>
        </w:rPr>
        <w:footnoteReference w:id="12"/>
      </w:r>
      <w:r w:rsidRPr="009622FC">
        <w:rPr>
          <w:rFonts w:ascii="Garamond" w:hAnsi="Garamond"/>
        </w:rPr>
        <w:t xml:space="preserve"> </w:t>
      </w:r>
    </w:p>
    <w:p w:rsidR="00B42460" w:rsidRPr="009622FC" w:rsidRDefault="00B42460" w:rsidP="00B42460">
      <w:pPr>
        <w:spacing w:after="0"/>
        <w:jc w:val="both"/>
        <w:rPr>
          <w:rFonts w:ascii="Garamond" w:hAnsi="Garamond"/>
          <w:lang w:val="en-US"/>
        </w:rPr>
      </w:pPr>
    </w:p>
    <w:p w:rsidR="00B42460" w:rsidRDefault="00B42460" w:rsidP="00EE6790">
      <w:pPr>
        <w:spacing w:after="0"/>
        <w:jc w:val="both"/>
        <w:rPr>
          <w:rFonts w:ascii="Garamond" w:hAnsi="Garamond"/>
          <w:lang w:val="en-US"/>
        </w:rPr>
      </w:pPr>
      <w:r w:rsidRPr="009622FC">
        <w:rPr>
          <w:rFonts w:ascii="Garamond" w:hAnsi="Garamond"/>
        </w:rPr>
        <w:t xml:space="preserve">Meanwhile, in forestry affairs, it is still the central government </w:t>
      </w:r>
      <w:r w:rsidR="00A904E4" w:rsidRPr="009622FC">
        <w:rPr>
          <w:rFonts w:ascii="Garamond" w:hAnsi="Garamond"/>
        </w:rPr>
        <w:t>that controls forest resource management</w:t>
      </w:r>
      <w:r w:rsidRPr="009622FC">
        <w:rPr>
          <w:rFonts w:ascii="Garamond" w:hAnsi="Garamond"/>
        </w:rPr>
        <w:t xml:space="preserve">. The role played by regional governments is to execute the central </w:t>
      </w:r>
      <w:r w:rsidR="003E6557">
        <w:rPr>
          <w:rFonts w:ascii="Garamond" w:hAnsi="Garamond"/>
        </w:rPr>
        <w:t>government’s policies by maximi</w:t>
      </w:r>
      <w:r w:rsidR="003E6557">
        <w:rPr>
          <w:rFonts w:ascii="Garamond" w:hAnsi="Garamond"/>
          <w:lang w:val="en-US"/>
        </w:rPr>
        <w:t>s</w:t>
      </w:r>
      <w:r w:rsidR="003E6557">
        <w:rPr>
          <w:rFonts w:ascii="Garamond" w:hAnsi="Garamond"/>
        </w:rPr>
        <w:t>ing monitoring of forest utili</w:t>
      </w:r>
      <w:r w:rsidR="003E6557">
        <w:rPr>
          <w:rFonts w:ascii="Garamond" w:hAnsi="Garamond"/>
          <w:lang w:val="en-US"/>
        </w:rPr>
        <w:t>s</w:t>
      </w:r>
      <w:r w:rsidRPr="009622FC">
        <w:rPr>
          <w:rFonts w:ascii="Garamond" w:hAnsi="Garamond"/>
        </w:rPr>
        <w:t>ation, for which permits have been issued by the central government, as well as to help the central government in planning activities to demarcate forest land boundaries, including by settling disputes over these boundaries. The limited role of simply resolving problems arising from the central government's policies has led to less than optimal performa</w:t>
      </w:r>
      <w:r w:rsidR="00DD42A2" w:rsidRPr="009622FC">
        <w:rPr>
          <w:rFonts w:ascii="Garamond" w:hAnsi="Garamond"/>
        </w:rPr>
        <w:t xml:space="preserve">nce by regional governments in </w:t>
      </w:r>
      <w:r w:rsidRPr="009622FC">
        <w:rPr>
          <w:rFonts w:ascii="Garamond" w:hAnsi="Garamond"/>
        </w:rPr>
        <w:t xml:space="preserve">monitoring and dispute settlement duties, as </w:t>
      </w:r>
      <w:r w:rsidR="0022799F">
        <w:rPr>
          <w:rFonts w:ascii="Garamond" w:hAnsi="Garamond"/>
          <w:lang w:val="en-US"/>
        </w:rPr>
        <w:t>in the cases of</w:t>
      </w:r>
      <w:r w:rsidRPr="009622FC">
        <w:rPr>
          <w:rFonts w:ascii="Garamond" w:hAnsi="Garamond"/>
        </w:rPr>
        <w:t xml:space="preserve"> mining and plantation affairs. </w:t>
      </w:r>
    </w:p>
    <w:p w:rsidR="00EE6790" w:rsidRPr="00EE6790" w:rsidRDefault="00EE6790" w:rsidP="00EE6790">
      <w:pPr>
        <w:spacing w:after="0"/>
        <w:jc w:val="both"/>
        <w:rPr>
          <w:rFonts w:ascii="Garamond" w:hAnsi="Garamond"/>
          <w:lang w:val="en-US"/>
        </w:rPr>
      </w:pPr>
    </w:p>
    <w:p w:rsidR="00B42460" w:rsidRDefault="00B42460" w:rsidP="00EB2089">
      <w:pPr>
        <w:spacing w:after="0"/>
        <w:jc w:val="both"/>
        <w:rPr>
          <w:rFonts w:ascii="Garamond" w:hAnsi="Garamond"/>
          <w:b/>
          <w:u w:val="single"/>
          <w:lang w:val="en-US"/>
        </w:rPr>
      </w:pPr>
      <w:r w:rsidRPr="009622FC">
        <w:rPr>
          <w:rFonts w:ascii="Garamond" w:hAnsi="Garamond"/>
          <w:b/>
          <w:u w:val="single"/>
        </w:rPr>
        <w:t xml:space="preserve">2.2 Natural Resource-Based Regional Economic Structure  </w:t>
      </w:r>
    </w:p>
    <w:p w:rsidR="00EB2089" w:rsidRPr="00EB2089" w:rsidRDefault="00EB2089" w:rsidP="00EB2089">
      <w:pPr>
        <w:spacing w:after="0"/>
        <w:jc w:val="both"/>
        <w:rPr>
          <w:rFonts w:ascii="Garamond" w:hAnsi="Garamond"/>
          <w:b/>
          <w:u w:val="single"/>
          <w:lang w:val="en-US"/>
        </w:rPr>
      </w:pPr>
    </w:p>
    <w:p w:rsidR="00B42460" w:rsidRPr="009622FC" w:rsidRDefault="00B42460" w:rsidP="00B42460">
      <w:pPr>
        <w:autoSpaceDE w:val="0"/>
        <w:autoSpaceDN w:val="0"/>
        <w:adjustRightInd w:val="0"/>
        <w:spacing w:after="0"/>
        <w:jc w:val="both"/>
        <w:rPr>
          <w:rFonts w:ascii="Garamond" w:hAnsi="Garamond" w:cs="Calibri"/>
          <w:lang w:val="en-US"/>
        </w:rPr>
      </w:pPr>
      <w:r w:rsidRPr="009622FC">
        <w:rPr>
          <w:rFonts w:ascii="Garamond" w:hAnsi="Garamond" w:cs="Calibri"/>
          <w:b/>
        </w:rPr>
        <w:t xml:space="preserve">In general, governments in Indonesia are highly dependent on natural resources. </w:t>
      </w:r>
      <w:r w:rsidRPr="009622FC">
        <w:rPr>
          <w:rFonts w:ascii="Garamond" w:hAnsi="Garamond" w:cs="Calibri"/>
        </w:rPr>
        <w:t xml:space="preserve">The regional planning policies above reflect the dependence of regional governments on natural resources. A study by </w:t>
      </w:r>
      <w:r w:rsidR="00DD42A2" w:rsidRPr="009622FC">
        <w:rPr>
          <w:rFonts w:ascii="Garamond" w:hAnsi="Garamond" w:cs="Calibri"/>
        </w:rPr>
        <w:t xml:space="preserve">the </w:t>
      </w:r>
      <w:r w:rsidRPr="009622FC">
        <w:rPr>
          <w:rFonts w:ascii="Garamond" w:hAnsi="Garamond" w:cs="Calibri"/>
        </w:rPr>
        <w:t xml:space="preserve">World Bank has indicated that </w:t>
      </w:r>
      <w:r w:rsidRPr="009622FC">
        <w:rPr>
          <w:rFonts w:ascii="Garamond" w:hAnsi="Garamond" w:cs="Lucida Sans"/>
          <w:color w:val="231F20"/>
        </w:rPr>
        <w:t>natural capital makes up one quarter of Indonesia’s total wealth, and that 45 percent of Indonesia’s wealth is derived from assets in the ground</w:t>
      </w:r>
      <w:r w:rsidRPr="009622FC">
        <w:rPr>
          <w:rStyle w:val="FootnoteReference"/>
          <w:rFonts w:ascii="Garamond" w:hAnsi="Garamond" w:cs="Lucida Sans"/>
          <w:color w:val="231F20"/>
          <w:lang w:val="en-US"/>
        </w:rPr>
        <w:footnoteReference w:id="13"/>
      </w:r>
      <w:r w:rsidRPr="009622FC">
        <w:rPr>
          <w:rFonts w:ascii="Garamond" w:hAnsi="Garamond" w:cs="Lucida Sans"/>
          <w:color w:val="231F20"/>
        </w:rPr>
        <w:t xml:space="preserve"> such as coal and other mining products. </w:t>
      </w:r>
    </w:p>
    <w:p w:rsidR="00B42460" w:rsidRPr="009622FC" w:rsidRDefault="00B42460" w:rsidP="00B42460">
      <w:pPr>
        <w:autoSpaceDE w:val="0"/>
        <w:autoSpaceDN w:val="0"/>
        <w:adjustRightInd w:val="0"/>
        <w:spacing w:after="0"/>
        <w:jc w:val="both"/>
        <w:rPr>
          <w:rFonts w:ascii="Garamond" w:hAnsi="Garamond" w:cs="Calibri"/>
          <w:b/>
          <w:lang w:val="en-US"/>
        </w:rPr>
      </w:pPr>
    </w:p>
    <w:p w:rsidR="00B42460" w:rsidRPr="009622FC" w:rsidRDefault="00B42460" w:rsidP="00B42460">
      <w:pPr>
        <w:autoSpaceDE w:val="0"/>
        <w:autoSpaceDN w:val="0"/>
        <w:adjustRightInd w:val="0"/>
        <w:spacing w:after="0"/>
        <w:jc w:val="both"/>
        <w:rPr>
          <w:rFonts w:ascii="Garamond" w:hAnsi="Garamond" w:cs="Calibri"/>
          <w:lang w:val="en-US"/>
        </w:rPr>
      </w:pPr>
      <w:r w:rsidRPr="009622FC">
        <w:rPr>
          <w:rFonts w:ascii="Garamond" w:hAnsi="Garamond" w:cs="Calibri"/>
          <w:b/>
        </w:rPr>
        <w:t>Coal, petroleum and palm oil are the main basis of economic development in these research areas.</w:t>
      </w:r>
      <w:r w:rsidRPr="009622FC">
        <w:rPr>
          <w:rFonts w:ascii="Garamond" w:hAnsi="Garamond" w:cs="Calibri"/>
          <w:b/>
          <w:i/>
        </w:rPr>
        <w:t xml:space="preserve"> </w:t>
      </w:r>
      <w:r w:rsidRPr="009622FC">
        <w:rPr>
          <w:rFonts w:ascii="Garamond" w:hAnsi="Garamond" w:cs="Calibri"/>
        </w:rPr>
        <w:t xml:space="preserve">As for the provincial governments of South Sumatra and East Kalimantan, their most important resources for development are coal and petroleum. Meanwhile, palm oil </w:t>
      </w:r>
      <w:r w:rsidR="00DD42A2" w:rsidRPr="009622FC">
        <w:rPr>
          <w:rFonts w:ascii="Garamond" w:hAnsi="Garamond" w:cs="Calibri"/>
        </w:rPr>
        <w:t>is</w:t>
      </w:r>
      <w:r w:rsidRPr="009622FC">
        <w:rPr>
          <w:rFonts w:ascii="Garamond" w:hAnsi="Garamond" w:cs="Calibri"/>
        </w:rPr>
        <w:t xml:space="preserve"> a means of economic support for the provinces of West Kalimantan and South Sumatra. </w:t>
      </w:r>
    </w:p>
    <w:p w:rsidR="00B42460" w:rsidRPr="009622FC" w:rsidRDefault="00B42460" w:rsidP="00B42460">
      <w:pPr>
        <w:autoSpaceDE w:val="0"/>
        <w:autoSpaceDN w:val="0"/>
        <w:adjustRightInd w:val="0"/>
        <w:spacing w:after="0"/>
        <w:jc w:val="both"/>
        <w:rPr>
          <w:rFonts w:ascii="Garamond" w:hAnsi="Garamond" w:cs="Calibri"/>
          <w:lang w:val="en-US"/>
        </w:rPr>
      </w:pPr>
    </w:p>
    <w:p w:rsidR="00B42460" w:rsidRPr="009622FC" w:rsidRDefault="00B42460" w:rsidP="00B42460">
      <w:pPr>
        <w:autoSpaceDE w:val="0"/>
        <w:autoSpaceDN w:val="0"/>
        <w:adjustRightInd w:val="0"/>
        <w:spacing w:after="0"/>
        <w:jc w:val="both"/>
        <w:rPr>
          <w:rFonts w:ascii="Garamond" w:hAnsi="Garamond" w:cs="Calibri"/>
        </w:rPr>
      </w:pPr>
      <w:r w:rsidRPr="009622FC">
        <w:rPr>
          <w:rFonts w:ascii="Garamond" w:hAnsi="Garamond" w:cs="Calibri"/>
          <w:b/>
        </w:rPr>
        <w:t>Coal production tends to be on the rise, compared to oil and natural gas</w:t>
      </w:r>
      <w:r w:rsidRPr="009622FC">
        <w:rPr>
          <w:rFonts w:ascii="Garamond" w:hAnsi="Garamond" w:cs="Calibri"/>
        </w:rPr>
        <w:t>. In the provinces of South Sumatra and East Kalimantan, coal producti</w:t>
      </w:r>
      <w:r w:rsidR="00F5660C" w:rsidRPr="009622FC">
        <w:rPr>
          <w:rFonts w:ascii="Garamond" w:hAnsi="Garamond" w:cs="Calibri"/>
        </w:rPr>
        <w:t xml:space="preserve">on </w:t>
      </w:r>
      <w:r w:rsidRPr="009622FC">
        <w:rPr>
          <w:rFonts w:ascii="Garamond" w:hAnsi="Garamond" w:cs="Calibri"/>
        </w:rPr>
        <w:t xml:space="preserve">is </w:t>
      </w:r>
      <w:r w:rsidR="00F5660C" w:rsidRPr="009622FC">
        <w:rPr>
          <w:rFonts w:ascii="Garamond" w:hAnsi="Garamond" w:cs="Calibri"/>
        </w:rPr>
        <w:t>growing steadily</w:t>
      </w:r>
      <w:r w:rsidRPr="009622FC">
        <w:rPr>
          <w:rFonts w:ascii="Garamond" w:hAnsi="Garamond" w:cs="Calibri"/>
        </w:rPr>
        <w:t>. The growth of oil and natural gas has been less impressive, even seeing a decrease over several years. Coal production in both provinces increased to 68 percent from 2009-2012. Petroleum, on the other hand, grew by 15 percent and natural gas grew by 1 percent during the same period. This decrease for oil and natural gas was due to limited development of new oil and natural gas fields. As a result, the focus of mining activities is massively shifting to coal mining. Coal is an abundant commodity in Indonesia. There is as much as 104.8 billion tons of coal resource reserves in Indonesia. From 1996 to 2010, Indonesia’s coal production witnessed an average growth rate of 14.8 percent</w:t>
      </w:r>
      <w:r w:rsidRPr="009622FC">
        <w:rPr>
          <w:rStyle w:val="FootnoteReference"/>
          <w:rFonts w:ascii="Garamond" w:hAnsi="Garamond" w:cs="Calibri"/>
        </w:rPr>
        <w:footnoteReference w:id="14"/>
      </w:r>
      <w:r w:rsidRPr="009622FC">
        <w:rPr>
          <w:rFonts w:ascii="Garamond" w:hAnsi="Garamond" w:cs="Calibri"/>
        </w:rPr>
        <w:t xml:space="preserve"> per year, and there was an average export growth rate of 15.1 </w:t>
      </w:r>
      <w:r w:rsidRPr="009622FC">
        <w:rPr>
          <w:rFonts w:ascii="Garamond" w:hAnsi="Garamond" w:cs="Calibri"/>
        </w:rPr>
        <w:lastRenderedPageBreak/>
        <w:t xml:space="preserve">percent per year. The provinces of East Kalimantan and South Sumatra are the main actors in coal mining production. </w:t>
      </w:r>
    </w:p>
    <w:p w:rsidR="00B42460" w:rsidRPr="009622FC" w:rsidRDefault="00B42460" w:rsidP="00B42460">
      <w:pPr>
        <w:autoSpaceDE w:val="0"/>
        <w:autoSpaceDN w:val="0"/>
        <w:adjustRightInd w:val="0"/>
        <w:spacing w:after="0"/>
        <w:jc w:val="center"/>
        <w:rPr>
          <w:rFonts w:ascii="Garamond" w:hAnsi="Garamond" w:cs="Calibri"/>
          <w:b/>
        </w:rPr>
      </w:pPr>
    </w:p>
    <w:p w:rsidR="00B42460" w:rsidRPr="0022799F" w:rsidRDefault="00273E5C" w:rsidP="00EE6790">
      <w:pPr>
        <w:spacing w:after="0" w:line="240" w:lineRule="auto"/>
        <w:jc w:val="center"/>
        <w:rPr>
          <w:rFonts w:ascii="Garamond" w:hAnsi="Garamond" w:cs="Calibri"/>
          <w:b/>
        </w:rPr>
      </w:pPr>
      <w:r w:rsidRPr="009622FC">
        <w:rPr>
          <w:rFonts w:ascii="Garamond" w:hAnsi="Garamond" w:cs="Calibri"/>
          <w:b/>
        </w:rPr>
        <w:t>Graphic</w:t>
      </w:r>
      <w:r w:rsidR="00B42460" w:rsidRPr="009622FC">
        <w:rPr>
          <w:rFonts w:ascii="Garamond" w:hAnsi="Garamond" w:cs="Calibri"/>
          <w:b/>
        </w:rPr>
        <w:t xml:space="preserve"> 2.1 Production Growth of Petroleum, Natural Gas and Coal</w:t>
      </w:r>
    </w:p>
    <w:p w:rsidR="00B42460" w:rsidRDefault="00B42460" w:rsidP="00B42460">
      <w:pPr>
        <w:autoSpaceDE w:val="0"/>
        <w:autoSpaceDN w:val="0"/>
        <w:adjustRightInd w:val="0"/>
        <w:spacing w:after="0"/>
        <w:jc w:val="center"/>
        <w:rPr>
          <w:rFonts w:ascii="Garamond" w:hAnsi="Garamond" w:cs="Calibri"/>
          <w:b/>
          <w:lang w:val="en-US"/>
        </w:rPr>
      </w:pPr>
      <w:r w:rsidRPr="009622FC">
        <w:rPr>
          <w:rFonts w:ascii="Garamond" w:hAnsi="Garamond" w:cs="Calibri"/>
          <w:b/>
        </w:rPr>
        <w:t>in South Sumatra and E</w:t>
      </w:r>
      <w:r w:rsidR="0022799F">
        <w:rPr>
          <w:rFonts w:ascii="Garamond" w:hAnsi="Garamond" w:cs="Calibri"/>
          <w:b/>
        </w:rPr>
        <w:t>ast Kalimantan Provinces, 2009-</w:t>
      </w:r>
      <w:r w:rsidRPr="009622FC">
        <w:rPr>
          <w:rFonts w:ascii="Garamond" w:hAnsi="Garamond" w:cs="Calibri"/>
          <w:b/>
        </w:rPr>
        <w:t>2012</w:t>
      </w:r>
    </w:p>
    <w:p w:rsidR="00EB2089" w:rsidRPr="00EB2089" w:rsidRDefault="00EB2089" w:rsidP="00B42460">
      <w:pPr>
        <w:autoSpaceDE w:val="0"/>
        <w:autoSpaceDN w:val="0"/>
        <w:adjustRightInd w:val="0"/>
        <w:spacing w:after="0"/>
        <w:jc w:val="center"/>
        <w:rPr>
          <w:rFonts w:ascii="Garamond" w:hAnsi="Garamond" w:cs="Calibri"/>
          <w:b/>
          <w:lang w:val="en-US"/>
        </w:rPr>
      </w:pPr>
    </w:p>
    <w:p w:rsidR="00B42460" w:rsidRPr="009622FC" w:rsidRDefault="00805913" w:rsidP="00B42460">
      <w:pPr>
        <w:autoSpaceDE w:val="0"/>
        <w:autoSpaceDN w:val="0"/>
        <w:adjustRightInd w:val="0"/>
        <w:spacing w:after="0"/>
        <w:jc w:val="center"/>
        <w:rPr>
          <w:rFonts w:ascii="Garamond" w:hAnsi="Garamond" w:cs="Calibri"/>
          <w:lang w:val="en-US"/>
        </w:rPr>
      </w:pPr>
      <w:r w:rsidRPr="009622FC">
        <w:rPr>
          <w:rFonts w:ascii="Garamond" w:hAnsi="Garamond" w:cs="Calibri"/>
          <w:noProof/>
          <w:lang w:val="en-US" w:eastAsia="en-US" w:bidi="ar-SA"/>
        </w:rPr>
        <w:drawing>
          <wp:inline distT="0" distB="0" distL="0" distR="0">
            <wp:extent cx="5224498" cy="3096253"/>
            <wp:effectExtent l="11618" t="5433" r="5809" b="2829"/>
            <wp:docPr id="3"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2460" w:rsidRPr="00EB2089" w:rsidRDefault="009126F0" w:rsidP="00EB2089">
      <w:pPr>
        <w:autoSpaceDE w:val="0"/>
        <w:autoSpaceDN w:val="0"/>
        <w:adjustRightInd w:val="0"/>
        <w:spacing w:after="0"/>
        <w:ind w:firstLine="450"/>
        <w:rPr>
          <w:rFonts w:ascii="Garamond" w:hAnsi="Garamond" w:cs="Calibri"/>
          <w:sz w:val="20"/>
          <w:szCs w:val="20"/>
        </w:rPr>
      </w:pPr>
      <w:r w:rsidRPr="00EB2089">
        <w:rPr>
          <w:rFonts w:ascii="Garamond" w:hAnsi="Garamond" w:cs="Calibri"/>
          <w:sz w:val="20"/>
          <w:szCs w:val="20"/>
        </w:rPr>
        <w:t>Source</w:t>
      </w:r>
      <w:r w:rsidR="00B42460" w:rsidRPr="00EB2089">
        <w:rPr>
          <w:rFonts w:ascii="Garamond" w:hAnsi="Garamond" w:cs="Calibri"/>
          <w:sz w:val="20"/>
          <w:szCs w:val="20"/>
        </w:rPr>
        <w:t>: Daerah Dalam Angka for each province in 2012</w:t>
      </w:r>
    </w:p>
    <w:p w:rsidR="00B42460" w:rsidRPr="009622FC" w:rsidRDefault="00B42460" w:rsidP="00B42460">
      <w:pPr>
        <w:autoSpaceDE w:val="0"/>
        <w:autoSpaceDN w:val="0"/>
        <w:adjustRightInd w:val="0"/>
        <w:spacing w:after="0"/>
        <w:jc w:val="both"/>
        <w:rPr>
          <w:rFonts w:ascii="Garamond" w:hAnsi="Garamond" w:cs="Calibri"/>
        </w:rPr>
      </w:pPr>
    </w:p>
    <w:p w:rsidR="00B42460" w:rsidRPr="009622FC" w:rsidRDefault="00B42460" w:rsidP="00B42460">
      <w:pPr>
        <w:autoSpaceDE w:val="0"/>
        <w:autoSpaceDN w:val="0"/>
        <w:adjustRightInd w:val="0"/>
        <w:spacing w:after="0"/>
        <w:jc w:val="both"/>
        <w:rPr>
          <w:rFonts w:ascii="Garamond" w:hAnsi="Garamond" w:cs="Calibri"/>
        </w:rPr>
      </w:pPr>
      <w:r w:rsidRPr="009622FC">
        <w:rPr>
          <w:rFonts w:ascii="Garamond" w:hAnsi="Garamond" w:cs="Calibri"/>
          <w:b/>
        </w:rPr>
        <w:t>These three research provinces represent almost half of the forest land under use permits for mining activities</w:t>
      </w:r>
      <w:r w:rsidRPr="009622FC">
        <w:rPr>
          <w:rStyle w:val="FootnoteReference"/>
          <w:rFonts w:ascii="Garamond" w:hAnsi="Garamond" w:cs="Calibri"/>
          <w:b/>
          <w:lang w:val="en-US"/>
        </w:rPr>
        <w:footnoteReference w:id="15"/>
      </w:r>
      <w:r w:rsidRPr="009622FC">
        <w:rPr>
          <w:rFonts w:ascii="Garamond" w:hAnsi="Garamond" w:cs="Calibri"/>
          <w:b/>
        </w:rPr>
        <w:t xml:space="preserve"> on a national level, which covered more than 400,000 hectares as of 2012</w:t>
      </w:r>
      <w:r w:rsidRPr="009622FC">
        <w:rPr>
          <w:rFonts w:ascii="Garamond" w:hAnsi="Garamond" w:cs="Calibri"/>
        </w:rPr>
        <w:t>. Nationally, 857,977.56 hectares (Ha) of forest land are still under use permits</w:t>
      </w:r>
      <w:r w:rsidR="0022799F">
        <w:rPr>
          <w:rFonts w:ascii="Garamond" w:hAnsi="Garamond" w:cs="Calibri"/>
          <w:lang w:val="en-US"/>
        </w:rPr>
        <w:t>.</w:t>
      </w:r>
      <w:r w:rsidRPr="009622FC">
        <w:rPr>
          <w:rStyle w:val="FootnoteReference"/>
          <w:rFonts w:ascii="Garamond" w:hAnsi="Garamond" w:cs="Calibri"/>
          <w:lang w:val="en-US"/>
        </w:rPr>
        <w:footnoteReference w:id="16"/>
      </w:r>
      <w:r w:rsidRPr="009622FC">
        <w:rPr>
          <w:rFonts w:ascii="Garamond" w:hAnsi="Garamond" w:cs="Calibri"/>
        </w:rPr>
        <w:t xml:space="preserve"> East Kalimantan contributes the greatest amount of this forest land under use permits, amounting to around 370,000 hectares, followed by South Sumatra province with 20,000 hectares and West Kalimantan province with 15,000 hectares. East Kalimantan province has more forest land under use permits for mining exploitation. As of 2011, the government had issued use permits for mining exploitation activities in more than 162,362.05 Ha of forestland, and in 2012, the government allowed another 18,605.13 Ha of land to be used for coal mining activities. Hence, up unti</w:t>
      </w:r>
      <w:r w:rsidR="00961438" w:rsidRPr="009622FC">
        <w:rPr>
          <w:rFonts w:ascii="Garamond" w:hAnsi="Garamond" w:cs="Calibri"/>
        </w:rPr>
        <w:t>l 2012, 180,967.18 Ha of forest</w:t>
      </w:r>
      <w:r w:rsidRPr="009622FC">
        <w:rPr>
          <w:rFonts w:ascii="Garamond" w:hAnsi="Garamond" w:cs="Calibri"/>
        </w:rPr>
        <w:t>land had been transferred for use into mining areas. Worse still, as of 2012 up</w:t>
      </w:r>
      <w:r w:rsidR="00961438" w:rsidRPr="009622FC">
        <w:rPr>
          <w:rFonts w:ascii="Garamond" w:hAnsi="Garamond" w:cs="Calibri"/>
        </w:rPr>
        <w:t xml:space="preserve"> to 186,382.31 Ha of forest</w:t>
      </w:r>
      <w:r w:rsidRPr="009622FC">
        <w:rPr>
          <w:rFonts w:ascii="Garamond" w:hAnsi="Garamond" w:cs="Calibri"/>
        </w:rPr>
        <w:t>land had received principal approval for use pe</w:t>
      </w:r>
      <w:r w:rsidR="00961438" w:rsidRPr="009622FC">
        <w:rPr>
          <w:rFonts w:ascii="Garamond" w:hAnsi="Garamond" w:cs="Calibri"/>
        </w:rPr>
        <w:t>rmits. This expansion of forest</w:t>
      </w:r>
      <w:r w:rsidRPr="009622FC">
        <w:rPr>
          <w:rFonts w:ascii="Garamond" w:hAnsi="Garamond" w:cs="Calibri"/>
        </w:rPr>
        <w:t xml:space="preserve">land under use permits is expected to </w:t>
      </w:r>
      <w:r w:rsidR="00961438" w:rsidRPr="009622FC">
        <w:rPr>
          <w:rFonts w:ascii="Garamond" w:hAnsi="Garamond" w:cs="Calibri"/>
        </w:rPr>
        <w:t>result in</w:t>
      </w:r>
      <w:r w:rsidRPr="009622FC">
        <w:rPr>
          <w:rFonts w:ascii="Garamond" w:hAnsi="Garamond" w:cs="Calibri"/>
        </w:rPr>
        <w:t xml:space="preserve"> deforestation. </w:t>
      </w: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B42460">
      <w:pPr>
        <w:autoSpaceDE w:val="0"/>
        <w:autoSpaceDN w:val="0"/>
        <w:adjustRightInd w:val="0"/>
        <w:spacing w:after="0"/>
        <w:jc w:val="center"/>
        <w:rPr>
          <w:rFonts w:ascii="Garamond" w:hAnsi="Garamond" w:cs="Calibri"/>
          <w:b/>
        </w:rPr>
      </w:pPr>
    </w:p>
    <w:p w:rsidR="00B42460" w:rsidRPr="009622FC" w:rsidRDefault="00B42460" w:rsidP="00EE6790">
      <w:pPr>
        <w:spacing w:after="0" w:line="240" w:lineRule="auto"/>
        <w:jc w:val="center"/>
        <w:rPr>
          <w:rFonts w:ascii="Garamond" w:hAnsi="Garamond" w:cs="Calibri"/>
          <w:b/>
        </w:rPr>
      </w:pPr>
      <w:r w:rsidRPr="009622FC">
        <w:rPr>
          <w:rFonts w:ascii="Garamond" w:hAnsi="Garamond" w:cs="Calibri"/>
          <w:b/>
        </w:rPr>
        <w:lastRenderedPageBreak/>
        <w:t>Table 2.3 Development of Forest Area Use Permits</w:t>
      </w:r>
    </w:p>
    <w:p w:rsidR="00B42460" w:rsidRDefault="00B42460" w:rsidP="00B42460">
      <w:pPr>
        <w:autoSpaceDE w:val="0"/>
        <w:autoSpaceDN w:val="0"/>
        <w:adjustRightInd w:val="0"/>
        <w:spacing w:after="0"/>
        <w:jc w:val="center"/>
        <w:rPr>
          <w:rFonts w:ascii="Garamond" w:hAnsi="Garamond" w:cs="Calibri"/>
          <w:b/>
          <w:lang w:val="en-US"/>
        </w:rPr>
      </w:pPr>
      <w:r w:rsidRPr="009622FC">
        <w:rPr>
          <w:rFonts w:ascii="Garamond" w:hAnsi="Garamond" w:cs="Calibri"/>
          <w:b/>
        </w:rPr>
        <w:t>for Mining Production/Exploitation</w:t>
      </w:r>
      <w:r w:rsidRPr="009622FC">
        <w:rPr>
          <w:rStyle w:val="FootnoteReference"/>
          <w:rFonts w:ascii="Garamond" w:hAnsi="Garamond" w:cs="Calibri"/>
          <w:b/>
        </w:rPr>
        <w:footnoteReference w:id="17"/>
      </w:r>
    </w:p>
    <w:p w:rsidR="00EB2089" w:rsidRPr="00EB2089" w:rsidRDefault="00EB2089" w:rsidP="00B42460">
      <w:pPr>
        <w:autoSpaceDE w:val="0"/>
        <w:autoSpaceDN w:val="0"/>
        <w:adjustRightInd w:val="0"/>
        <w:spacing w:after="0"/>
        <w:jc w:val="center"/>
        <w:rPr>
          <w:rFonts w:ascii="Garamond" w:hAnsi="Garamond" w:cs="Calibri"/>
          <w:b/>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9"/>
        <w:gridCol w:w="2107"/>
        <w:gridCol w:w="2115"/>
        <w:gridCol w:w="2125"/>
      </w:tblGrid>
      <w:tr w:rsidR="00B42460" w:rsidRPr="009622FC" w:rsidTr="00EE6790">
        <w:trPr>
          <w:jc w:val="center"/>
        </w:trPr>
        <w:tc>
          <w:tcPr>
            <w:tcW w:w="1879" w:type="dxa"/>
            <w:vMerge w:val="restart"/>
            <w:tcBorders>
              <w:top w:val="single" w:sz="4" w:space="0" w:color="000000"/>
              <w:left w:val="single" w:sz="4" w:space="0" w:color="000000"/>
              <w:bottom w:val="single" w:sz="4" w:space="0" w:color="000000"/>
              <w:right w:val="single" w:sz="4" w:space="0" w:color="000000"/>
            </w:tcBorders>
            <w:shd w:val="clear" w:color="auto" w:fill="C0504D"/>
            <w:vAlign w:val="center"/>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Year</w:t>
            </w:r>
          </w:p>
        </w:tc>
        <w:tc>
          <w:tcPr>
            <w:tcW w:w="6347" w:type="dxa"/>
            <w:gridSpan w:val="3"/>
            <w:tcBorders>
              <w:top w:val="single" w:sz="4" w:space="0" w:color="000000"/>
              <w:left w:val="single" w:sz="4" w:space="0" w:color="000000"/>
              <w:bottom w:val="single" w:sz="4" w:space="0" w:color="000000"/>
              <w:right w:val="single" w:sz="4" w:space="0" w:color="000000"/>
            </w:tcBorders>
            <w:shd w:val="clear" w:color="auto" w:fill="C0504D"/>
            <w:vAlign w:val="center"/>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Area (Ha)</w:t>
            </w:r>
          </w:p>
        </w:tc>
      </w:tr>
      <w:tr w:rsidR="00B42460" w:rsidRPr="009622FC" w:rsidTr="00EE6790">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rPr>
                <w:rFonts w:ascii="Garamond" w:hAnsi="Garamond" w:cs="Calibri"/>
                <w:b/>
              </w:rPr>
            </w:pPr>
          </w:p>
        </w:tc>
        <w:tc>
          <w:tcPr>
            <w:tcW w:w="210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South Sumatra</w:t>
            </w:r>
          </w:p>
        </w:tc>
        <w:tc>
          <w:tcPr>
            <w:tcW w:w="211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East Kalimantan</w:t>
            </w:r>
          </w:p>
        </w:tc>
        <w:tc>
          <w:tcPr>
            <w:tcW w:w="212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 xml:space="preserve">West Kalimantan </w:t>
            </w:r>
          </w:p>
        </w:tc>
      </w:tr>
      <w:tr w:rsidR="00B42460" w:rsidRPr="009622FC" w:rsidTr="00EE6790">
        <w:trPr>
          <w:jc w:val="center"/>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
                <w:bCs/>
              </w:rPr>
              <w:t>Development of Forest Area Use Permits</w:t>
            </w:r>
          </w:p>
        </w:tc>
      </w:tr>
      <w:tr w:rsidR="00B42460" w:rsidRPr="009622FC" w:rsidTr="00EE6790">
        <w:trPr>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E5B8B7"/>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2011</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5,989.37</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162,362.05</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2,608.85</w:t>
            </w:r>
          </w:p>
        </w:tc>
      </w:tr>
      <w:tr w:rsidR="00B42460" w:rsidRPr="009622FC" w:rsidTr="00EE6790">
        <w:trPr>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E5B8B7"/>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2012</w:t>
            </w:r>
            <w:r w:rsidRPr="009622FC">
              <w:rPr>
                <w:rStyle w:val="FootnoteReference"/>
                <w:rFonts w:ascii="Garamond" w:hAnsi="Garamond" w:cs="Calibri"/>
              </w:rPr>
              <w:footnoteReference w:id="18"/>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792.49</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18,605.13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1,735.57</w:t>
            </w:r>
          </w:p>
        </w:tc>
      </w:tr>
      <w:tr w:rsidR="00B42460" w:rsidRPr="009622FC" w:rsidTr="00EE6790">
        <w:trPr>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E5B8B7"/>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Total as of 2012</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6,781.86</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180,967.18</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4,344.42</w:t>
            </w:r>
          </w:p>
        </w:tc>
      </w:tr>
      <w:tr w:rsidR="00B42460" w:rsidRPr="009622FC" w:rsidTr="00EE6790">
        <w:trPr>
          <w:jc w:val="center"/>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
                <w:bCs/>
              </w:rPr>
              <w:t>Progress of Principal Approval of Forest Area Use Permits</w:t>
            </w:r>
          </w:p>
        </w:tc>
      </w:tr>
      <w:tr w:rsidR="00B42460" w:rsidRPr="009622FC" w:rsidTr="00EE6790">
        <w:trPr>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E5B8B7"/>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2011</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9,063.72</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155,636.61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6,356.76</w:t>
            </w:r>
          </w:p>
        </w:tc>
      </w:tr>
      <w:tr w:rsidR="00B42460" w:rsidRPr="009622FC" w:rsidTr="00EE6790">
        <w:trPr>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E5B8B7"/>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cs="Calibri"/>
              </w:rPr>
              <w:t>2012</w:t>
            </w:r>
            <w:r w:rsidRPr="009622FC">
              <w:rPr>
                <w:rStyle w:val="FootnoteReference"/>
                <w:rFonts w:ascii="Garamond" w:hAnsi="Garamond" w:cs="Calibri"/>
              </w:rPr>
              <w:footnoteReference w:id="19"/>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4,726.63</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30,745.70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6,521.08</w:t>
            </w:r>
          </w:p>
        </w:tc>
      </w:tr>
      <w:tr w:rsidR="00B42460" w:rsidRPr="009622FC" w:rsidTr="00EE6790">
        <w:trPr>
          <w:jc w:val="center"/>
        </w:trPr>
        <w:tc>
          <w:tcPr>
            <w:tcW w:w="1879" w:type="dxa"/>
            <w:tcBorders>
              <w:top w:val="single" w:sz="4" w:space="0" w:color="000000"/>
              <w:left w:val="single" w:sz="4" w:space="0" w:color="000000"/>
              <w:bottom w:val="single" w:sz="4" w:space="0" w:color="000000"/>
              <w:right w:val="single" w:sz="4" w:space="0" w:color="000000"/>
            </w:tcBorders>
            <w:shd w:val="clear" w:color="auto" w:fill="E5B8B7"/>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Total as of 2012</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13,790.35</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186,382.31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cs="Calibri"/>
                <w:b/>
              </w:rPr>
              <w:t>12,877.84</w:t>
            </w:r>
          </w:p>
        </w:tc>
      </w:tr>
    </w:tbl>
    <w:p w:rsidR="00B42460" w:rsidRPr="00EB2089" w:rsidRDefault="0022799F" w:rsidP="00EB2089">
      <w:pPr>
        <w:autoSpaceDE w:val="0"/>
        <w:autoSpaceDN w:val="0"/>
        <w:adjustRightInd w:val="0"/>
        <w:spacing w:after="0"/>
        <w:ind w:left="450"/>
        <w:jc w:val="both"/>
        <w:rPr>
          <w:rFonts w:ascii="Garamond" w:hAnsi="Garamond" w:cs="Calibri"/>
          <w:sz w:val="20"/>
          <w:szCs w:val="20"/>
        </w:rPr>
      </w:pPr>
      <w:r w:rsidRPr="00EB2089">
        <w:rPr>
          <w:rFonts w:ascii="Garamond" w:hAnsi="Garamond" w:cs="Calibri"/>
          <w:sz w:val="20"/>
          <w:szCs w:val="20"/>
        </w:rPr>
        <w:t>Source</w:t>
      </w:r>
      <w:r w:rsidR="00B42460" w:rsidRPr="00EB2089">
        <w:rPr>
          <w:rFonts w:ascii="Garamond" w:hAnsi="Garamond" w:cs="Calibri"/>
          <w:sz w:val="20"/>
          <w:szCs w:val="20"/>
        </w:rPr>
        <w:t>: Data from the Directorate General of Forestry Planning 2012,  Directorate of Forest Area Use, data to December 2012</w:t>
      </w:r>
    </w:p>
    <w:p w:rsidR="00B42460" w:rsidRPr="009622FC" w:rsidRDefault="00B42460" w:rsidP="00B42460">
      <w:pPr>
        <w:autoSpaceDE w:val="0"/>
        <w:autoSpaceDN w:val="0"/>
        <w:adjustRightInd w:val="0"/>
        <w:spacing w:after="0"/>
        <w:jc w:val="both"/>
        <w:rPr>
          <w:rFonts w:ascii="Garamond" w:hAnsi="Garamond" w:cs="Calibri"/>
        </w:rPr>
      </w:pPr>
    </w:p>
    <w:p w:rsidR="00B42460" w:rsidRPr="009622FC" w:rsidRDefault="00B42460" w:rsidP="00B42460">
      <w:pPr>
        <w:autoSpaceDE w:val="0"/>
        <w:autoSpaceDN w:val="0"/>
        <w:adjustRightInd w:val="0"/>
        <w:spacing w:after="0"/>
        <w:jc w:val="both"/>
        <w:rPr>
          <w:rFonts w:ascii="Garamond" w:hAnsi="Garamond" w:cs="Calibri"/>
        </w:rPr>
      </w:pPr>
      <w:r w:rsidRPr="009622FC">
        <w:rPr>
          <w:rFonts w:ascii="Garamond" w:hAnsi="Garamond" w:cs="Calibri"/>
          <w:b/>
        </w:rPr>
        <w:t xml:space="preserve">One quarter of the total land area in East Kalimantan is taken up by coal mines. </w:t>
      </w:r>
      <w:r w:rsidR="00294AFF" w:rsidRPr="009622FC">
        <w:rPr>
          <w:rFonts w:ascii="Garamond" w:hAnsi="Garamond" w:cs="Calibri"/>
        </w:rPr>
        <w:t>Based on the data quoted by Jatam</w:t>
      </w:r>
      <w:r w:rsidR="0022799F">
        <w:rPr>
          <w:rFonts w:ascii="Garamond" w:hAnsi="Garamond" w:cs="Calibri"/>
          <w:lang w:val="en-US"/>
        </w:rPr>
        <w:t>,</w:t>
      </w:r>
      <w:r w:rsidRPr="009622FC">
        <w:rPr>
          <w:rStyle w:val="FootnoteReference"/>
          <w:rFonts w:ascii="Garamond" w:hAnsi="Garamond" w:cs="Calibri"/>
        </w:rPr>
        <w:footnoteReference w:id="20"/>
      </w:r>
      <w:r w:rsidRPr="009622FC">
        <w:rPr>
          <w:rFonts w:ascii="Garamond" w:hAnsi="Garamond" w:cs="Calibri"/>
        </w:rPr>
        <w:t xml:space="preserve"> as of December 2012 the number of coal mining business permits in</w:t>
      </w:r>
      <w:r w:rsidR="00294AFF" w:rsidRPr="009622FC">
        <w:rPr>
          <w:rFonts w:ascii="Garamond" w:hAnsi="Garamond" w:cs="Calibri"/>
        </w:rPr>
        <w:t xml:space="preserve"> East Kalimantan </w:t>
      </w:r>
      <w:r w:rsidRPr="009622FC">
        <w:rPr>
          <w:rFonts w:ascii="Garamond" w:hAnsi="Garamond" w:cs="Calibri"/>
        </w:rPr>
        <w:t>had reached 1,488, covering an area of 5,410,664 Ha. Meanwhile, the land area of this province is 19,844,117 Ha</w:t>
      </w:r>
      <w:r w:rsidR="0022799F">
        <w:rPr>
          <w:rFonts w:ascii="Garamond" w:hAnsi="Garamond" w:cs="Calibri"/>
          <w:lang w:val="en-US"/>
        </w:rPr>
        <w:t>.</w:t>
      </w:r>
      <w:r w:rsidRPr="009622FC">
        <w:rPr>
          <w:rStyle w:val="FootnoteReference"/>
          <w:rFonts w:ascii="Garamond" w:hAnsi="Garamond" w:cs="Calibri"/>
          <w:lang w:val="en-US"/>
        </w:rPr>
        <w:footnoteReference w:id="21"/>
      </w:r>
      <w:r w:rsidRPr="009622FC">
        <w:rPr>
          <w:rFonts w:ascii="Garamond" w:hAnsi="Garamond" w:cs="Calibri"/>
        </w:rPr>
        <w:t xml:space="preserve"> These figures indicate an increase compared to those as of December 2009, with a total of 1,180 permits covering 3,084,134 Ha of land. In 2007, there wer</w:t>
      </w:r>
      <w:r w:rsidR="003E6557">
        <w:rPr>
          <w:rFonts w:ascii="Garamond" w:hAnsi="Garamond" w:cs="Calibri"/>
        </w:rPr>
        <w:t>e a total of 633 mining authori</w:t>
      </w:r>
      <w:r w:rsidR="003E6557">
        <w:rPr>
          <w:rFonts w:ascii="Garamond" w:hAnsi="Garamond" w:cs="Calibri"/>
          <w:lang w:val="en-US"/>
        </w:rPr>
        <w:t>s</w:t>
      </w:r>
      <w:r w:rsidRPr="009622FC">
        <w:rPr>
          <w:rFonts w:ascii="Garamond" w:hAnsi="Garamond" w:cs="Calibri"/>
        </w:rPr>
        <w:t>ation permits issued covering 1,725,554 Ha. This amount does not include the coal mining permits issued by the central government in the form of PKP2Bs, totaling 33 permits covering 1.3 million Ha of land. Below is a table of the development of Mining Business Per</w:t>
      </w:r>
      <w:r w:rsidR="00294AFF" w:rsidRPr="009622FC">
        <w:rPr>
          <w:rFonts w:ascii="Garamond" w:hAnsi="Garamond" w:cs="Calibri"/>
        </w:rPr>
        <w:t>mits in East Kalimantan</w:t>
      </w:r>
      <w:r w:rsidRPr="009622FC">
        <w:rPr>
          <w:rFonts w:ascii="Garamond" w:hAnsi="Garamond" w:cs="Calibri"/>
        </w:rPr>
        <w:t xml:space="preserve">. </w:t>
      </w:r>
      <w:r w:rsidRPr="009622FC">
        <w:rPr>
          <w:rFonts w:ascii="Garamond" w:hAnsi="Garamond" w:cs="Calibri"/>
          <w:b/>
          <w:i/>
        </w:rPr>
        <w:t xml:space="preserve"> </w:t>
      </w:r>
    </w:p>
    <w:p w:rsidR="00B42460" w:rsidRPr="009622FC" w:rsidRDefault="00B42460" w:rsidP="00B42460">
      <w:pPr>
        <w:autoSpaceDE w:val="0"/>
        <w:autoSpaceDN w:val="0"/>
        <w:adjustRightInd w:val="0"/>
        <w:spacing w:after="0"/>
        <w:jc w:val="both"/>
        <w:rPr>
          <w:rFonts w:ascii="Garamond" w:hAnsi="Garamond" w:cs="Calibri"/>
        </w:rPr>
      </w:pPr>
    </w:p>
    <w:p w:rsidR="00B42460" w:rsidRDefault="00B42460" w:rsidP="00B42460">
      <w:pPr>
        <w:autoSpaceDE w:val="0"/>
        <w:autoSpaceDN w:val="0"/>
        <w:adjustRightInd w:val="0"/>
        <w:spacing w:after="0"/>
        <w:jc w:val="center"/>
        <w:rPr>
          <w:rFonts w:ascii="Garamond" w:hAnsi="Garamond" w:cs="Calibri"/>
          <w:b/>
          <w:lang w:val="en-US"/>
        </w:rPr>
      </w:pPr>
      <w:r w:rsidRPr="009622FC">
        <w:rPr>
          <w:rFonts w:ascii="Garamond" w:hAnsi="Garamond" w:cs="Calibri"/>
          <w:b/>
        </w:rPr>
        <w:t xml:space="preserve">Table 2.4 Development of Mining Business Permits in East Kalimantan </w:t>
      </w:r>
    </w:p>
    <w:p w:rsidR="00EB2089" w:rsidRPr="00EB2089" w:rsidRDefault="00EB2089" w:rsidP="00B42460">
      <w:pPr>
        <w:autoSpaceDE w:val="0"/>
        <w:autoSpaceDN w:val="0"/>
        <w:adjustRightInd w:val="0"/>
        <w:spacing w:after="0"/>
        <w:jc w:val="center"/>
        <w:rPr>
          <w:rFonts w:ascii="Garamond" w:hAnsi="Garamond" w:cs="Calibri"/>
          <w:b/>
          <w:lang w:val="en-U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9"/>
        <w:gridCol w:w="2204"/>
        <w:gridCol w:w="878"/>
        <w:gridCol w:w="981"/>
        <w:gridCol w:w="925"/>
        <w:gridCol w:w="1217"/>
        <w:gridCol w:w="1217"/>
        <w:gridCol w:w="1217"/>
      </w:tblGrid>
      <w:tr w:rsidR="00B42460" w:rsidRPr="009622FC" w:rsidTr="00EE6790">
        <w:trPr>
          <w:jc w:val="center"/>
        </w:trPr>
        <w:tc>
          <w:tcPr>
            <w:tcW w:w="654" w:type="dxa"/>
            <w:vMerge w:val="restart"/>
            <w:tcBorders>
              <w:top w:val="single" w:sz="4" w:space="0" w:color="FFFFFF"/>
              <w:left w:val="single" w:sz="4" w:space="0" w:color="FFFFFF"/>
              <w:right w:val="nil"/>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bCs/>
                <w:color w:val="FFFFFF"/>
              </w:rPr>
            </w:pPr>
            <w:r w:rsidRPr="009622FC">
              <w:rPr>
                <w:rFonts w:ascii="Garamond" w:hAnsi="Garamond"/>
                <w:bCs/>
                <w:color w:val="FFFFFF"/>
              </w:rPr>
              <w:t>No</w:t>
            </w:r>
          </w:p>
        </w:tc>
        <w:tc>
          <w:tcPr>
            <w:tcW w:w="2232" w:type="dxa"/>
            <w:vMerge w:val="restart"/>
            <w:tcBorders>
              <w:top w:val="single" w:sz="4" w:space="0" w:color="FFFFFF"/>
              <w:left w:val="nil"/>
              <w:right w:val="nil"/>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b/>
                <w:bCs/>
                <w:color w:val="FFFFFF"/>
              </w:rPr>
            </w:pPr>
            <w:r w:rsidRPr="009622FC">
              <w:rPr>
                <w:rFonts w:ascii="Garamond" w:hAnsi="Garamond"/>
                <w:bCs/>
                <w:color w:val="FFFFFF"/>
              </w:rPr>
              <w:t>Area</w:t>
            </w:r>
          </w:p>
        </w:tc>
        <w:tc>
          <w:tcPr>
            <w:tcW w:w="6464" w:type="dxa"/>
            <w:gridSpan w:val="6"/>
            <w:tcBorders>
              <w:top w:val="single" w:sz="4" w:space="0" w:color="FFFFFF"/>
              <w:left w:val="nil"/>
              <w:righ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bCs/>
                <w:color w:val="FFFFFF"/>
              </w:rPr>
            </w:pPr>
            <w:r w:rsidRPr="009622FC">
              <w:rPr>
                <w:rFonts w:ascii="Garamond" w:hAnsi="Garamond"/>
                <w:bCs/>
                <w:color w:val="FFFFFF"/>
              </w:rPr>
              <w:t>Year</w:t>
            </w:r>
          </w:p>
        </w:tc>
      </w:tr>
      <w:tr w:rsidR="00B42460" w:rsidRPr="009622FC" w:rsidTr="00EE6790">
        <w:trPr>
          <w:jc w:val="center"/>
        </w:trPr>
        <w:tc>
          <w:tcPr>
            <w:tcW w:w="0" w:type="auto"/>
            <w:vMerge/>
            <w:tcBorders>
              <w:left w:val="single" w:sz="4" w:space="0" w:color="FFFFFF"/>
            </w:tcBorders>
            <w:shd w:val="clear" w:color="auto" w:fill="9BBB59"/>
          </w:tcPr>
          <w:p w:rsidR="00B42460" w:rsidRPr="009622FC" w:rsidRDefault="00B42460" w:rsidP="00B42460">
            <w:pPr>
              <w:spacing w:after="0"/>
              <w:rPr>
                <w:rFonts w:ascii="Garamond" w:hAnsi="Garamond" w:cs="Calibri"/>
                <w:b/>
                <w:bCs/>
                <w:color w:val="FFFFFF"/>
              </w:rPr>
            </w:pPr>
          </w:p>
        </w:tc>
        <w:tc>
          <w:tcPr>
            <w:tcW w:w="0" w:type="auto"/>
            <w:vMerge/>
            <w:shd w:val="clear" w:color="auto" w:fill="D6E3BC"/>
          </w:tcPr>
          <w:p w:rsidR="00B42460" w:rsidRPr="009622FC" w:rsidRDefault="00B42460" w:rsidP="00B42460">
            <w:pPr>
              <w:spacing w:after="0"/>
              <w:rPr>
                <w:rFonts w:ascii="Garamond" w:hAnsi="Garamond" w:cs="Calibri"/>
                <w:b/>
                <w:bCs/>
                <w:color w:val="FFFFFF"/>
              </w:rPr>
            </w:pPr>
          </w:p>
        </w:tc>
        <w:tc>
          <w:tcPr>
            <w:tcW w:w="2807" w:type="dxa"/>
            <w:gridSpan w:val="3"/>
            <w:shd w:val="clear" w:color="auto" w:fill="D6E3BC"/>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Number of KP/IUP</w:t>
            </w:r>
          </w:p>
        </w:tc>
        <w:tc>
          <w:tcPr>
            <w:tcW w:w="3657" w:type="dxa"/>
            <w:gridSpan w:val="3"/>
            <w:shd w:val="clear" w:color="auto" w:fill="D6E3BC"/>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Area of mining zone (Ha)</w:t>
            </w:r>
          </w:p>
        </w:tc>
      </w:tr>
      <w:tr w:rsidR="00B42460" w:rsidRPr="009622FC" w:rsidTr="00EE6790">
        <w:trPr>
          <w:jc w:val="center"/>
        </w:trPr>
        <w:tc>
          <w:tcPr>
            <w:tcW w:w="0" w:type="auto"/>
            <w:vMerge/>
            <w:tcBorders>
              <w:left w:val="single" w:sz="4" w:space="0" w:color="FFFFFF"/>
            </w:tcBorders>
            <w:shd w:val="clear" w:color="auto" w:fill="9BBB59"/>
          </w:tcPr>
          <w:p w:rsidR="00B42460" w:rsidRPr="009622FC" w:rsidRDefault="00B42460" w:rsidP="00B42460">
            <w:pPr>
              <w:spacing w:after="0"/>
              <w:rPr>
                <w:rFonts w:ascii="Garamond" w:hAnsi="Garamond" w:cs="Calibri"/>
                <w:b/>
                <w:bCs/>
                <w:color w:val="FFFFFF"/>
              </w:rPr>
            </w:pPr>
          </w:p>
        </w:tc>
        <w:tc>
          <w:tcPr>
            <w:tcW w:w="0" w:type="auto"/>
            <w:vMerge/>
            <w:shd w:val="clear" w:color="auto" w:fill="EAF1DD"/>
          </w:tcPr>
          <w:p w:rsidR="00B42460" w:rsidRPr="009622FC" w:rsidRDefault="00B42460" w:rsidP="00B42460">
            <w:pPr>
              <w:spacing w:after="0"/>
              <w:rPr>
                <w:rFonts w:ascii="Garamond" w:hAnsi="Garamond" w:cs="Calibri"/>
                <w:b/>
                <w:bCs/>
                <w:color w:val="FFFFFF"/>
              </w:rPr>
            </w:pPr>
          </w:p>
        </w:tc>
        <w:tc>
          <w:tcPr>
            <w:tcW w:w="884" w:type="dxa"/>
            <w:shd w:val="clear" w:color="auto" w:fill="EAF1DD"/>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2007</w:t>
            </w:r>
          </w:p>
        </w:tc>
        <w:tc>
          <w:tcPr>
            <w:tcW w:w="990" w:type="dxa"/>
            <w:shd w:val="clear" w:color="auto" w:fill="EAF1DD"/>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2009</w:t>
            </w:r>
          </w:p>
        </w:tc>
        <w:tc>
          <w:tcPr>
            <w:tcW w:w="933" w:type="dxa"/>
            <w:shd w:val="clear" w:color="auto" w:fill="EAF1DD"/>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2011</w:t>
            </w:r>
          </w:p>
        </w:tc>
        <w:tc>
          <w:tcPr>
            <w:tcW w:w="1219" w:type="dxa"/>
            <w:shd w:val="clear" w:color="auto" w:fill="EAF1DD"/>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2007</w:t>
            </w:r>
          </w:p>
        </w:tc>
        <w:tc>
          <w:tcPr>
            <w:tcW w:w="1219" w:type="dxa"/>
            <w:shd w:val="clear" w:color="auto" w:fill="EAF1DD"/>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2009</w:t>
            </w:r>
          </w:p>
        </w:tc>
        <w:tc>
          <w:tcPr>
            <w:tcW w:w="1219" w:type="dxa"/>
            <w:shd w:val="clear" w:color="auto" w:fill="EAF1DD"/>
          </w:tcPr>
          <w:p w:rsidR="00B42460" w:rsidRPr="009622FC" w:rsidRDefault="00B42460" w:rsidP="00B42460">
            <w:pPr>
              <w:autoSpaceDE w:val="0"/>
              <w:autoSpaceDN w:val="0"/>
              <w:adjustRightInd w:val="0"/>
              <w:spacing w:after="0"/>
              <w:jc w:val="center"/>
              <w:rPr>
                <w:rFonts w:ascii="Garamond" w:hAnsi="Garamond" w:cs="Calibri"/>
                <w:b/>
              </w:rPr>
            </w:pPr>
            <w:r w:rsidRPr="009622FC">
              <w:rPr>
                <w:rFonts w:ascii="Garamond" w:hAnsi="Garamond"/>
                <w:b/>
              </w:rPr>
              <w:t>2011</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1</w:t>
            </w:r>
          </w:p>
        </w:tc>
        <w:tc>
          <w:tcPr>
            <w:tcW w:w="2232" w:type="dxa"/>
            <w:shd w:val="clear" w:color="auto" w:fill="D6E3BC"/>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Malinau</w:t>
            </w:r>
            <w:r w:rsidRPr="009622FC">
              <w:rPr>
                <w:rStyle w:val="FootnoteReference"/>
                <w:rFonts w:ascii="Garamond" w:hAnsi="Garamond" w:cs="Calibri"/>
                <w:bCs/>
                <w:color w:val="000000"/>
                <w:kern w:val="24"/>
                <w:lang w:val="en-US"/>
              </w:rPr>
              <w:footnoteReference w:id="22"/>
            </w:r>
          </w:p>
        </w:tc>
        <w:tc>
          <w:tcPr>
            <w:tcW w:w="884"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9</w:t>
            </w:r>
          </w:p>
        </w:tc>
        <w:tc>
          <w:tcPr>
            <w:tcW w:w="990"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7</w:t>
            </w:r>
          </w:p>
        </w:tc>
        <w:tc>
          <w:tcPr>
            <w:tcW w:w="933"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39</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45</w:t>
            </w:r>
            <w:r w:rsidR="0022799F">
              <w:rPr>
                <w:rFonts w:ascii="Garamond" w:hAnsi="Garamond"/>
                <w:lang w:val="en-US"/>
              </w:rPr>
              <w:t>,</w:t>
            </w:r>
            <w:r w:rsidRPr="009622FC">
              <w:rPr>
                <w:rFonts w:ascii="Garamond" w:hAnsi="Garamond"/>
              </w:rPr>
              <w:t>210</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11</w:t>
            </w:r>
            <w:r w:rsidR="0022799F">
              <w:rPr>
                <w:rFonts w:ascii="Garamond" w:hAnsi="Garamond"/>
                <w:lang w:val="en-US"/>
              </w:rPr>
              <w:t>,</w:t>
            </w:r>
            <w:r w:rsidRPr="009622FC">
              <w:rPr>
                <w:rFonts w:ascii="Garamond" w:hAnsi="Garamond"/>
              </w:rPr>
              <w:t>114</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544</w:t>
            </w:r>
            <w:r w:rsidR="0022799F">
              <w:rPr>
                <w:rFonts w:ascii="Garamond" w:hAnsi="Garamond"/>
                <w:lang w:val="en-US"/>
              </w:rPr>
              <w:t>,</w:t>
            </w:r>
            <w:r w:rsidRPr="009622FC">
              <w:rPr>
                <w:rFonts w:ascii="Garamond" w:hAnsi="Garamond"/>
              </w:rPr>
              <w:t>594</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2</w:t>
            </w:r>
          </w:p>
        </w:tc>
        <w:tc>
          <w:tcPr>
            <w:tcW w:w="2232" w:type="dxa"/>
            <w:shd w:val="clear" w:color="auto" w:fill="EAF1DD"/>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Nunukan</w:t>
            </w:r>
          </w:p>
        </w:tc>
        <w:tc>
          <w:tcPr>
            <w:tcW w:w="884"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17</w:t>
            </w:r>
          </w:p>
        </w:tc>
        <w:tc>
          <w:tcPr>
            <w:tcW w:w="990"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22</w:t>
            </w:r>
          </w:p>
        </w:tc>
        <w:tc>
          <w:tcPr>
            <w:tcW w:w="933"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30</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176</w:t>
            </w:r>
            <w:r w:rsidR="0022799F">
              <w:rPr>
                <w:rFonts w:ascii="Garamond" w:hAnsi="Garamond"/>
                <w:lang w:val="en-US"/>
              </w:rPr>
              <w:t>,</w:t>
            </w:r>
            <w:r w:rsidRPr="009622FC">
              <w:rPr>
                <w:rFonts w:ascii="Garamond" w:hAnsi="Garamond"/>
              </w:rPr>
              <w:t>298</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70</w:t>
            </w:r>
            <w:r w:rsidR="0022799F">
              <w:rPr>
                <w:rFonts w:ascii="Garamond" w:hAnsi="Garamond"/>
                <w:lang w:val="en-US"/>
              </w:rPr>
              <w:t>,</w:t>
            </w:r>
            <w:r w:rsidRPr="009622FC">
              <w:rPr>
                <w:rFonts w:ascii="Garamond" w:hAnsi="Garamond"/>
              </w:rPr>
              <w:t>112</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119</w:t>
            </w:r>
            <w:r w:rsidR="0022799F">
              <w:rPr>
                <w:rFonts w:ascii="Garamond" w:hAnsi="Garamond"/>
                <w:lang w:val="en-US"/>
              </w:rPr>
              <w:t>,</w:t>
            </w:r>
            <w:r w:rsidRPr="009622FC">
              <w:rPr>
                <w:rFonts w:ascii="Garamond" w:hAnsi="Garamond"/>
              </w:rPr>
              <w:t>875</w:t>
            </w:r>
            <w:r w:rsidR="0022799F">
              <w:rPr>
                <w:rFonts w:ascii="Garamond" w:hAnsi="Garamond"/>
                <w:lang w:val="en-US"/>
              </w:rPr>
              <w:t>.</w:t>
            </w:r>
            <w:r w:rsidRPr="009622FC">
              <w:rPr>
                <w:rFonts w:ascii="Garamond" w:hAnsi="Garamond"/>
              </w:rPr>
              <w:t>47</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3</w:t>
            </w:r>
          </w:p>
        </w:tc>
        <w:tc>
          <w:tcPr>
            <w:tcW w:w="2232" w:type="dxa"/>
            <w:shd w:val="clear" w:color="auto" w:fill="D6E3BC"/>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Tana Tidung</w:t>
            </w:r>
          </w:p>
        </w:tc>
        <w:tc>
          <w:tcPr>
            <w:tcW w:w="884"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w:t>
            </w:r>
          </w:p>
        </w:tc>
        <w:tc>
          <w:tcPr>
            <w:tcW w:w="990"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2</w:t>
            </w:r>
          </w:p>
        </w:tc>
        <w:tc>
          <w:tcPr>
            <w:tcW w:w="933"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4</w:t>
            </w:r>
          </w:p>
        </w:tc>
        <w:tc>
          <w:tcPr>
            <w:tcW w:w="1219" w:type="dxa"/>
            <w:shd w:val="clear" w:color="auto" w:fill="D6E3BC"/>
          </w:tcPr>
          <w:p w:rsidR="00B42460" w:rsidRPr="009622FC" w:rsidRDefault="00B42460" w:rsidP="00B42460">
            <w:pPr>
              <w:autoSpaceDE w:val="0"/>
              <w:autoSpaceDN w:val="0"/>
              <w:adjustRightInd w:val="0"/>
              <w:spacing w:after="0"/>
              <w:jc w:val="right"/>
              <w:rPr>
                <w:rFonts w:ascii="Garamond" w:hAnsi="Garamond" w:cs="Calibri"/>
              </w:rPr>
            </w:pPr>
            <w:r w:rsidRPr="009622FC">
              <w:rPr>
                <w:rFonts w:ascii="Garamond" w:hAnsi="Garamond"/>
              </w:rPr>
              <w:t>-</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5</w:t>
            </w:r>
            <w:r w:rsidR="0022799F">
              <w:rPr>
                <w:rFonts w:ascii="Garamond" w:hAnsi="Garamond"/>
                <w:lang w:val="en-US"/>
              </w:rPr>
              <w:t>,</w:t>
            </w:r>
            <w:r w:rsidRPr="009622FC">
              <w:rPr>
                <w:rFonts w:ascii="Garamond" w:hAnsi="Garamond"/>
              </w:rPr>
              <w:t>000</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11</w:t>
            </w:r>
            <w:r w:rsidR="0022799F">
              <w:rPr>
                <w:rFonts w:ascii="Garamond" w:hAnsi="Garamond"/>
                <w:lang w:val="en-US"/>
              </w:rPr>
              <w:t>,</w:t>
            </w:r>
            <w:r w:rsidRPr="009622FC">
              <w:rPr>
                <w:rFonts w:ascii="Garamond" w:hAnsi="Garamond"/>
              </w:rPr>
              <w:t>288</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4</w:t>
            </w:r>
          </w:p>
        </w:tc>
        <w:tc>
          <w:tcPr>
            <w:tcW w:w="2232" w:type="dxa"/>
            <w:shd w:val="clear" w:color="auto" w:fill="EAF1DD"/>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Bulungan</w:t>
            </w:r>
          </w:p>
        </w:tc>
        <w:tc>
          <w:tcPr>
            <w:tcW w:w="884"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18</w:t>
            </w:r>
          </w:p>
        </w:tc>
        <w:tc>
          <w:tcPr>
            <w:tcW w:w="990"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33</w:t>
            </w:r>
          </w:p>
        </w:tc>
        <w:tc>
          <w:tcPr>
            <w:tcW w:w="933"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80</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59</w:t>
            </w:r>
            <w:r w:rsidR="0022799F">
              <w:rPr>
                <w:rFonts w:ascii="Garamond" w:hAnsi="Garamond"/>
                <w:lang w:val="en-US"/>
              </w:rPr>
              <w:t>,</w:t>
            </w:r>
            <w:r w:rsidRPr="009622FC">
              <w:rPr>
                <w:rFonts w:ascii="Garamond" w:hAnsi="Garamond"/>
              </w:rPr>
              <w:t>516</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136</w:t>
            </w:r>
            <w:r w:rsidR="0022799F">
              <w:rPr>
                <w:rFonts w:ascii="Garamond" w:hAnsi="Garamond"/>
                <w:lang w:val="en-US"/>
              </w:rPr>
              <w:t>,</w:t>
            </w:r>
            <w:r w:rsidRPr="009622FC">
              <w:rPr>
                <w:rFonts w:ascii="Garamond" w:hAnsi="Garamond"/>
              </w:rPr>
              <w:t>153</w:t>
            </w:r>
            <w:r w:rsidR="0022799F">
              <w:rPr>
                <w:rFonts w:ascii="Garamond" w:hAnsi="Garamond"/>
                <w:lang w:val="en-US"/>
              </w:rPr>
              <w:t>.</w:t>
            </w:r>
            <w:r w:rsidRPr="009622FC">
              <w:rPr>
                <w:rFonts w:ascii="Garamond" w:hAnsi="Garamond"/>
              </w:rPr>
              <w:t>31</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373</w:t>
            </w:r>
            <w:r w:rsidR="0022799F">
              <w:rPr>
                <w:rFonts w:ascii="Garamond" w:hAnsi="Garamond"/>
                <w:lang w:val="en-US"/>
              </w:rPr>
              <w:t>,</w:t>
            </w:r>
            <w:r w:rsidRPr="009622FC">
              <w:rPr>
                <w:rFonts w:ascii="Garamond" w:hAnsi="Garamond"/>
              </w:rPr>
              <w:t>827</w:t>
            </w:r>
            <w:r w:rsidR="0022799F">
              <w:rPr>
                <w:rFonts w:ascii="Garamond" w:hAnsi="Garamond"/>
                <w:lang w:val="en-US"/>
              </w:rPr>
              <w:t>.</w:t>
            </w:r>
            <w:r w:rsidRPr="009622FC">
              <w:rPr>
                <w:rFonts w:ascii="Garamond" w:hAnsi="Garamond"/>
              </w:rPr>
              <w:t>65</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5</w:t>
            </w:r>
          </w:p>
        </w:tc>
        <w:tc>
          <w:tcPr>
            <w:tcW w:w="2232" w:type="dxa"/>
            <w:shd w:val="clear" w:color="auto" w:fill="D6E3BC"/>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Berau</w:t>
            </w:r>
          </w:p>
        </w:tc>
        <w:tc>
          <w:tcPr>
            <w:tcW w:w="884"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31</w:t>
            </w:r>
          </w:p>
        </w:tc>
        <w:tc>
          <w:tcPr>
            <w:tcW w:w="990"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68</w:t>
            </w:r>
          </w:p>
        </w:tc>
        <w:tc>
          <w:tcPr>
            <w:tcW w:w="933"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34</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102</w:t>
            </w:r>
            <w:r w:rsidR="0022799F">
              <w:rPr>
                <w:rFonts w:ascii="Garamond" w:hAnsi="Garamond"/>
                <w:lang w:val="en-US"/>
              </w:rPr>
              <w:t>,</w:t>
            </w:r>
            <w:r w:rsidRPr="009622FC">
              <w:rPr>
                <w:rFonts w:ascii="Garamond" w:hAnsi="Garamond"/>
              </w:rPr>
              <w:t>100</w:t>
            </w:r>
            <w:r w:rsidR="0022799F">
              <w:rPr>
                <w:rFonts w:ascii="Garamond" w:hAnsi="Garamond"/>
                <w:lang w:val="en-US"/>
              </w:rPr>
              <w:t>.</w:t>
            </w:r>
            <w:r w:rsidRPr="009622FC">
              <w:rPr>
                <w:rFonts w:ascii="Garamond" w:hAnsi="Garamond"/>
              </w:rPr>
              <w:t>8</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224</w:t>
            </w:r>
            <w:r w:rsidR="0022799F">
              <w:rPr>
                <w:rFonts w:ascii="Garamond" w:hAnsi="Garamond"/>
                <w:lang w:val="en-US"/>
              </w:rPr>
              <w:t>,</w:t>
            </w:r>
            <w:r w:rsidRPr="009622FC">
              <w:rPr>
                <w:rFonts w:ascii="Garamond" w:hAnsi="Garamond"/>
              </w:rPr>
              <w:t>060</w:t>
            </w:r>
            <w:r w:rsidR="0022799F">
              <w:rPr>
                <w:rFonts w:ascii="Garamond" w:hAnsi="Garamond"/>
                <w:lang w:val="en-US"/>
              </w:rPr>
              <w:t>.</w:t>
            </w:r>
            <w:r w:rsidRPr="009622FC">
              <w:rPr>
                <w:rFonts w:ascii="Garamond" w:hAnsi="Garamond"/>
              </w:rPr>
              <w:t>03</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100</w:t>
            </w:r>
            <w:r w:rsidR="0022799F">
              <w:rPr>
                <w:rFonts w:ascii="Garamond" w:hAnsi="Garamond"/>
                <w:lang w:val="en-US"/>
              </w:rPr>
              <w:t>,</w:t>
            </w:r>
            <w:r w:rsidRPr="009622FC">
              <w:rPr>
                <w:rFonts w:ascii="Garamond" w:hAnsi="Garamond"/>
              </w:rPr>
              <w:t>230</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6</w:t>
            </w:r>
          </w:p>
        </w:tc>
        <w:tc>
          <w:tcPr>
            <w:tcW w:w="2232" w:type="dxa"/>
            <w:shd w:val="clear" w:color="auto" w:fill="EAF1DD"/>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Samarinda</w:t>
            </w:r>
          </w:p>
        </w:tc>
        <w:tc>
          <w:tcPr>
            <w:tcW w:w="884"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40</w:t>
            </w:r>
          </w:p>
        </w:tc>
        <w:tc>
          <w:tcPr>
            <w:tcW w:w="990"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76</w:t>
            </w:r>
          </w:p>
        </w:tc>
        <w:tc>
          <w:tcPr>
            <w:tcW w:w="933"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37</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20</w:t>
            </w:r>
            <w:r w:rsidR="0022799F">
              <w:rPr>
                <w:rFonts w:ascii="Garamond" w:hAnsi="Garamond"/>
                <w:lang w:val="en-US"/>
              </w:rPr>
              <w:t>,</w:t>
            </w:r>
            <w:r w:rsidRPr="009622FC">
              <w:rPr>
                <w:rFonts w:ascii="Garamond" w:hAnsi="Garamond"/>
              </w:rPr>
              <w:t>323</w:t>
            </w:r>
            <w:r w:rsidR="0022799F">
              <w:rPr>
                <w:rFonts w:ascii="Garamond" w:hAnsi="Garamond"/>
                <w:lang w:val="en-US"/>
              </w:rPr>
              <w:t>.</w:t>
            </w:r>
            <w:r w:rsidRPr="009622FC">
              <w:rPr>
                <w:rFonts w:ascii="Garamond" w:hAnsi="Garamond"/>
              </w:rPr>
              <w:t>10</w:t>
            </w:r>
          </w:p>
        </w:tc>
        <w:tc>
          <w:tcPr>
            <w:tcW w:w="1219" w:type="dxa"/>
            <w:shd w:val="clear" w:color="auto" w:fill="EAF1DD"/>
          </w:tcPr>
          <w:p w:rsidR="00B42460" w:rsidRPr="009622FC" w:rsidRDefault="00B42460" w:rsidP="00B42460">
            <w:pPr>
              <w:autoSpaceDE w:val="0"/>
              <w:autoSpaceDN w:val="0"/>
              <w:adjustRightInd w:val="0"/>
              <w:spacing w:after="0"/>
              <w:jc w:val="right"/>
              <w:rPr>
                <w:rFonts w:ascii="Garamond" w:hAnsi="Garamond" w:cs="Calibri"/>
              </w:rPr>
            </w:pPr>
            <w:r w:rsidRPr="009622FC">
              <w:rPr>
                <w:rFonts w:ascii="Garamond" w:hAnsi="Garamond"/>
              </w:rPr>
              <w:t>-</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19</w:t>
            </w:r>
            <w:r w:rsidR="0022799F">
              <w:rPr>
                <w:rFonts w:ascii="Garamond" w:hAnsi="Garamond"/>
                <w:lang w:val="en-US"/>
              </w:rPr>
              <w:t>,</w:t>
            </w:r>
            <w:r w:rsidRPr="009622FC">
              <w:rPr>
                <w:rFonts w:ascii="Garamond" w:hAnsi="Garamond"/>
              </w:rPr>
              <w:t>720</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7</w:t>
            </w:r>
          </w:p>
        </w:tc>
        <w:tc>
          <w:tcPr>
            <w:tcW w:w="2232" w:type="dxa"/>
            <w:shd w:val="clear" w:color="auto" w:fill="D6E3BC"/>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Kukar</w:t>
            </w:r>
          </w:p>
        </w:tc>
        <w:tc>
          <w:tcPr>
            <w:tcW w:w="884"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412</w:t>
            </w:r>
          </w:p>
        </w:tc>
        <w:tc>
          <w:tcPr>
            <w:tcW w:w="990"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678</w:t>
            </w:r>
          </w:p>
        </w:tc>
        <w:tc>
          <w:tcPr>
            <w:tcW w:w="933"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224</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660</w:t>
            </w:r>
            <w:r w:rsidR="0022799F">
              <w:rPr>
                <w:rFonts w:ascii="Garamond" w:hAnsi="Garamond"/>
                <w:lang w:val="en-US"/>
              </w:rPr>
              <w:t>,</w:t>
            </w:r>
            <w:r w:rsidRPr="009622FC">
              <w:rPr>
                <w:rFonts w:ascii="Garamond" w:hAnsi="Garamond"/>
              </w:rPr>
              <w:t>886</w:t>
            </w:r>
            <w:r w:rsidR="0022799F">
              <w:rPr>
                <w:rFonts w:ascii="Garamond" w:hAnsi="Garamond"/>
                <w:lang w:val="en-US"/>
              </w:rPr>
              <w:t>.</w:t>
            </w:r>
            <w:r w:rsidRPr="009622FC">
              <w:rPr>
                <w:rFonts w:ascii="Garamond" w:hAnsi="Garamond"/>
              </w:rPr>
              <w:t>21</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w:t>
            </w:r>
            <w:r w:rsidR="0022799F">
              <w:rPr>
                <w:rFonts w:ascii="Garamond" w:hAnsi="Garamond"/>
                <w:lang w:val="en-US"/>
              </w:rPr>
              <w:t>,</w:t>
            </w:r>
            <w:r w:rsidRPr="009622FC">
              <w:rPr>
                <w:rFonts w:ascii="Garamond" w:hAnsi="Garamond"/>
              </w:rPr>
              <w:t>236</w:t>
            </w:r>
            <w:r w:rsidR="0022799F">
              <w:rPr>
                <w:rFonts w:ascii="Garamond" w:hAnsi="Garamond"/>
                <w:lang w:val="en-US"/>
              </w:rPr>
              <w:t>.</w:t>
            </w:r>
            <w:r w:rsidRPr="009622FC">
              <w:rPr>
                <w:rFonts w:ascii="Garamond" w:hAnsi="Garamond"/>
              </w:rPr>
              <w:t>37</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729</w:t>
            </w:r>
            <w:r w:rsidR="0022799F">
              <w:rPr>
                <w:rFonts w:ascii="Garamond" w:hAnsi="Garamond"/>
                <w:lang w:val="en-US"/>
              </w:rPr>
              <w:t>,</w:t>
            </w:r>
            <w:r w:rsidRPr="009622FC">
              <w:rPr>
                <w:rFonts w:ascii="Garamond" w:hAnsi="Garamond"/>
              </w:rPr>
              <w:t>914</w:t>
            </w:r>
            <w:r w:rsidR="0022799F">
              <w:rPr>
                <w:rFonts w:ascii="Garamond" w:hAnsi="Garamond"/>
                <w:lang w:val="en-US"/>
              </w:rPr>
              <w:t>.</w:t>
            </w:r>
            <w:r w:rsidRPr="009622FC">
              <w:rPr>
                <w:rFonts w:ascii="Garamond" w:hAnsi="Garamond"/>
              </w:rPr>
              <w:t>41</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8</w:t>
            </w:r>
          </w:p>
        </w:tc>
        <w:tc>
          <w:tcPr>
            <w:tcW w:w="2232" w:type="dxa"/>
            <w:shd w:val="clear" w:color="auto" w:fill="EAF1DD"/>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 xml:space="preserve">East Kutai </w:t>
            </w:r>
          </w:p>
        </w:tc>
        <w:tc>
          <w:tcPr>
            <w:tcW w:w="884"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53</w:t>
            </w:r>
          </w:p>
        </w:tc>
        <w:tc>
          <w:tcPr>
            <w:tcW w:w="990"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38</w:t>
            </w:r>
          </w:p>
        </w:tc>
        <w:tc>
          <w:tcPr>
            <w:tcW w:w="933"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310</w:t>
            </w:r>
            <w:r w:rsidR="0022799F">
              <w:rPr>
                <w:rFonts w:ascii="Garamond" w:hAnsi="Garamond"/>
                <w:lang w:val="en-US"/>
              </w:rPr>
              <w:t>,</w:t>
            </w:r>
            <w:r w:rsidRPr="009622FC">
              <w:rPr>
                <w:rFonts w:ascii="Garamond" w:hAnsi="Garamond"/>
              </w:rPr>
              <w:t>675</w:t>
            </w:r>
            <w:r w:rsidR="0022799F">
              <w:rPr>
                <w:rFonts w:ascii="Garamond" w:hAnsi="Garamond"/>
                <w:lang w:val="en-US"/>
              </w:rPr>
              <w:t>.</w:t>
            </w:r>
            <w:r w:rsidRPr="009622FC">
              <w:rPr>
                <w:rFonts w:ascii="Garamond" w:hAnsi="Garamond"/>
              </w:rPr>
              <w:t>95</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670</w:t>
            </w:r>
            <w:r w:rsidR="0022799F">
              <w:rPr>
                <w:rFonts w:ascii="Garamond" w:hAnsi="Garamond"/>
                <w:lang w:val="en-US"/>
              </w:rPr>
              <w:t>,</w:t>
            </w:r>
            <w:r w:rsidRPr="009622FC">
              <w:rPr>
                <w:rFonts w:ascii="Garamond" w:hAnsi="Garamond"/>
              </w:rPr>
              <w:t>549</w:t>
            </w:r>
          </w:p>
        </w:tc>
        <w:tc>
          <w:tcPr>
            <w:tcW w:w="1219" w:type="dxa"/>
            <w:shd w:val="clear" w:color="auto" w:fill="EAF1DD"/>
          </w:tcPr>
          <w:p w:rsidR="00B42460" w:rsidRPr="009622FC" w:rsidRDefault="00B42460" w:rsidP="00B42460">
            <w:pPr>
              <w:autoSpaceDE w:val="0"/>
              <w:autoSpaceDN w:val="0"/>
              <w:adjustRightInd w:val="0"/>
              <w:spacing w:after="0"/>
              <w:jc w:val="right"/>
              <w:rPr>
                <w:rFonts w:ascii="Garamond" w:hAnsi="Garamond" w:cs="Calibri"/>
              </w:rPr>
            </w:pPr>
            <w:r w:rsidRPr="009622FC">
              <w:rPr>
                <w:rFonts w:ascii="Garamond" w:hAnsi="Garamond"/>
              </w:rPr>
              <w:t>-</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9</w:t>
            </w:r>
          </w:p>
        </w:tc>
        <w:tc>
          <w:tcPr>
            <w:tcW w:w="2232" w:type="dxa"/>
            <w:shd w:val="clear" w:color="auto" w:fill="D6E3BC"/>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 xml:space="preserve">West Kutai </w:t>
            </w:r>
          </w:p>
        </w:tc>
        <w:tc>
          <w:tcPr>
            <w:tcW w:w="884"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15</w:t>
            </w:r>
          </w:p>
        </w:tc>
        <w:tc>
          <w:tcPr>
            <w:tcW w:w="990"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138</w:t>
            </w:r>
          </w:p>
        </w:tc>
        <w:tc>
          <w:tcPr>
            <w:tcW w:w="933"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223</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247</w:t>
            </w:r>
            <w:r w:rsidR="0022799F">
              <w:rPr>
                <w:rFonts w:ascii="Garamond" w:hAnsi="Garamond"/>
                <w:lang w:val="en-US"/>
              </w:rPr>
              <w:t>,</w:t>
            </w:r>
            <w:r w:rsidRPr="009622FC">
              <w:rPr>
                <w:rFonts w:ascii="Garamond" w:hAnsi="Garamond"/>
              </w:rPr>
              <w:t>956</w:t>
            </w:r>
            <w:r w:rsidR="0022799F">
              <w:rPr>
                <w:rFonts w:ascii="Garamond" w:hAnsi="Garamond"/>
                <w:lang w:val="en-US"/>
              </w:rPr>
              <w:t>.</w:t>
            </w:r>
            <w:r w:rsidRPr="009622FC">
              <w:rPr>
                <w:rFonts w:ascii="Garamond" w:hAnsi="Garamond"/>
              </w:rPr>
              <w:t>33</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395</w:t>
            </w:r>
            <w:r w:rsidR="0022799F">
              <w:rPr>
                <w:rFonts w:ascii="Garamond" w:hAnsi="Garamond"/>
                <w:lang w:val="en-US"/>
              </w:rPr>
              <w:t>,</w:t>
            </w:r>
            <w:r w:rsidRPr="009622FC">
              <w:rPr>
                <w:rFonts w:ascii="Garamond" w:hAnsi="Garamond"/>
              </w:rPr>
              <w:t>486</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1</w:t>
            </w:r>
            <w:r w:rsidR="0022799F">
              <w:rPr>
                <w:rFonts w:ascii="Garamond" w:hAnsi="Garamond"/>
                <w:lang w:val="en-US"/>
              </w:rPr>
              <w:t>,</w:t>
            </w:r>
            <w:r w:rsidRPr="009622FC">
              <w:rPr>
                <w:rFonts w:ascii="Garamond" w:hAnsi="Garamond"/>
              </w:rPr>
              <w:t>217</w:t>
            </w:r>
            <w:r w:rsidR="0022799F">
              <w:rPr>
                <w:rFonts w:ascii="Garamond" w:hAnsi="Garamond"/>
                <w:lang w:val="en-US"/>
              </w:rPr>
              <w:t>,</w:t>
            </w:r>
            <w:r w:rsidRPr="009622FC">
              <w:rPr>
                <w:rFonts w:ascii="Garamond" w:hAnsi="Garamond"/>
              </w:rPr>
              <w:t>624</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10</w:t>
            </w:r>
          </w:p>
        </w:tc>
        <w:tc>
          <w:tcPr>
            <w:tcW w:w="2232" w:type="dxa"/>
            <w:shd w:val="clear" w:color="auto" w:fill="EAF1DD"/>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 xml:space="preserve">North Penajam Paser </w:t>
            </w:r>
          </w:p>
        </w:tc>
        <w:tc>
          <w:tcPr>
            <w:tcW w:w="884"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16</w:t>
            </w:r>
          </w:p>
        </w:tc>
        <w:tc>
          <w:tcPr>
            <w:tcW w:w="990"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36</w:t>
            </w:r>
          </w:p>
        </w:tc>
        <w:tc>
          <w:tcPr>
            <w:tcW w:w="933" w:type="dxa"/>
            <w:shd w:val="clear" w:color="auto" w:fill="EAF1DD"/>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78</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60</w:t>
            </w:r>
            <w:r w:rsidR="0022799F">
              <w:rPr>
                <w:rFonts w:ascii="Garamond" w:hAnsi="Garamond"/>
                <w:lang w:val="en-US"/>
              </w:rPr>
              <w:t>,</w:t>
            </w:r>
            <w:r w:rsidRPr="009622FC">
              <w:rPr>
                <w:rFonts w:ascii="Garamond" w:hAnsi="Garamond"/>
              </w:rPr>
              <w:t>447</w:t>
            </w:r>
            <w:r w:rsidR="0022799F">
              <w:rPr>
                <w:rFonts w:ascii="Garamond" w:hAnsi="Garamond"/>
                <w:lang w:val="en-US"/>
              </w:rPr>
              <w:t>.</w:t>
            </w:r>
            <w:r w:rsidRPr="009622FC">
              <w:rPr>
                <w:rFonts w:ascii="Garamond" w:hAnsi="Garamond"/>
              </w:rPr>
              <w:t>65</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86</w:t>
            </w:r>
            <w:r w:rsidR="0022799F">
              <w:rPr>
                <w:rFonts w:ascii="Garamond" w:hAnsi="Garamond"/>
                <w:lang w:val="en-US"/>
              </w:rPr>
              <w:t>,</w:t>
            </w:r>
            <w:r w:rsidRPr="009622FC">
              <w:rPr>
                <w:rFonts w:ascii="Garamond" w:hAnsi="Garamond"/>
              </w:rPr>
              <w:t>307</w:t>
            </w:r>
            <w:r w:rsidR="0022799F">
              <w:rPr>
                <w:rFonts w:ascii="Garamond" w:hAnsi="Garamond"/>
                <w:lang w:val="en-US"/>
              </w:rPr>
              <w:t>.</w:t>
            </w:r>
            <w:r w:rsidRPr="009622FC">
              <w:rPr>
                <w:rFonts w:ascii="Garamond" w:hAnsi="Garamond"/>
              </w:rPr>
              <w:t>88</w:t>
            </w:r>
          </w:p>
        </w:tc>
        <w:tc>
          <w:tcPr>
            <w:tcW w:w="1219" w:type="dxa"/>
            <w:shd w:val="clear" w:color="auto" w:fill="EAF1DD"/>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91</w:t>
            </w:r>
            <w:r w:rsidR="0022799F">
              <w:rPr>
                <w:rFonts w:ascii="Garamond" w:hAnsi="Garamond"/>
                <w:lang w:val="en-US"/>
              </w:rPr>
              <w:t>,</w:t>
            </w:r>
            <w:r w:rsidRPr="009622FC">
              <w:rPr>
                <w:rFonts w:ascii="Garamond" w:hAnsi="Garamond"/>
              </w:rPr>
              <w:t>044</w:t>
            </w:r>
          </w:p>
        </w:tc>
      </w:tr>
      <w:tr w:rsidR="00B42460" w:rsidRPr="009622FC" w:rsidTr="00EE6790">
        <w:trPr>
          <w:jc w:val="center"/>
        </w:trPr>
        <w:tc>
          <w:tcPr>
            <w:tcW w:w="654" w:type="dxa"/>
            <w:tcBorders>
              <w:left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lang w:val="en-US"/>
              </w:rPr>
            </w:pPr>
            <w:r w:rsidRPr="009622FC">
              <w:rPr>
                <w:rFonts w:ascii="Garamond" w:hAnsi="Garamond"/>
                <w:color w:val="000000"/>
                <w:kern w:val="24"/>
              </w:rPr>
              <w:t>11</w:t>
            </w:r>
          </w:p>
        </w:tc>
        <w:tc>
          <w:tcPr>
            <w:tcW w:w="2232" w:type="dxa"/>
            <w:shd w:val="clear" w:color="auto" w:fill="D6E3BC"/>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bCs/>
                <w:color w:val="000000"/>
                <w:kern w:val="24"/>
              </w:rPr>
              <w:t>Paser</w:t>
            </w:r>
          </w:p>
        </w:tc>
        <w:tc>
          <w:tcPr>
            <w:tcW w:w="884"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22</w:t>
            </w:r>
          </w:p>
        </w:tc>
        <w:tc>
          <w:tcPr>
            <w:tcW w:w="990"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73</w:t>
            </w:r>
          </w:p>
        </w:tc>
        <w:tc>
          <w:tcPr>
            <w:tcW w:w="933" w:type="dxa"/>
            <w:shd w:val="clear" w:color="auto" w:fill="D6E3BC"/>
          </w:tcPr>
          <w:p w:rsidR="00B42460" w:rsidRPr="009622FC" w:rsidRDefault="00B42460" w:rsidP="00B42460">
            <w:pPr>
              <w:autoSpaceDE w:val="0"/>
              <w:autoSpaceDN w:val="0"/>
              <w:adjustRightInd w:val="0"/>
              <w:spacing w:after="0"/>
              <w:jc w:val="center"/>
              <w:rPr>
                <w:rFonts w:ascii="Garamond" w:hAnsi="Garamond" w:cs="Calibri"/>
              </w:rPr>
            </w:pPr>
            <w:r w:rsidRPr="009622FC">
              <w:rPr>
                <w:rFonts w:ascii="Garamond" w:hAnsi="Garamond"/>
              </w:rPr>
              <w:t>39</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42</w:t>
            </w:r>
            <w:r w:rsidR="0022799F">
              <w:rPr>
                <w:rFonts w:ascii="Garamond" w:hAnsi="Garamond"/>
                <w:lang w:val="en-US"/>
              </w:rPr>
              <w:t>,</w:t>
            </w:r>
            <w:r w:rsidRPr="009622FC">
              <w:rPr>
                <w:rFonts w:ascii="Garamond" w:hAnsi="Garamond"/>
              </w:rPr>
              <w:t>139</w:t>
            </w:r>
            <w:r w:rsidR="0022799F">
              <w:rPr>
                <w:rFonts w:ascii="Garamond" w:hAnsi="Garamond"/>
                <w:lang w:val="en-US"/>
              </w:rPr>
              <w:t>.</w:t>
            </w:r>
            <w:r w:rsidRPr="009622FC">
              <w:rPr>
                <w:rFonts w:ascii="Garamond" w:hAnsi="Garamond"/>
              </w:rPr>
              <w:t>74</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248</w:t>
            </w:r>
            <w:r w:rsidR="0022799F">
              <w:rPr>
                <w:rFonts w:ascii="Garamond" w:hAnsi="Garamond"/>
                <w:lang w:val="en-US"/>
              </w:rPr>
              <w:t>,</w:t>
            </w:r>
            <w:r w:rsidRPr="009622FC">
              <w:rPr>
                <w:rFonts w:ascii="Garamond" w:hAnsi="Garamond"/>
              </w:rPr>
              <w:t>978</w:t>
            </w:r>
            <w:r w:rsidR="0022799F">
              <w:rPr>
                <w:rFonts w:ascii="Garamond" w:hAnsi="Garamond"/>
                <w:lang w:val="en-US"/>
              </w:rPr>
              <w:t>.</w:t>
            </w:r>
            <w:r w:rsidRPr="009622FC">
              <w:rPr>
                <w:rFonts w:ascii="Garamond" w:hAnsi="Garamond"/>
              </w:rPr>
              <w:t>16</w:t>
            </w:r>
          </w:p>
        </w:tc>
        <w:tc>
          <w:tcPr>
            <w:tcW w:w="1219" w:type="dxa"/>
            <w:shd w:val="clear" w:color="auto" w:fill="D6E3BC"/>
          </w:tcPr>
          <w:p w:rsidR="00B42460" w:rsidRPr="009622FC" w:rsidRDefault="00B42460" w:rsidP="0022799F">
            <w:pPr>
              <w:autoSpaceDE w:val="0"/>
              <w:autoSpaceDN w:val="0"/>
              <w:adjustRightInd w:val="0"/>
              <w:spacing w:after="0"/>
              <w:jc w:val="right"/>
              <w:rPr>
                <w:rFonts w:ascii="Garamond" w:hAnsi="Garamond" w:cs="Calibri"/>
              </w:rPr>
            </w:pPr>
            <w:r w:rsidRPr="009622FC">
              <w:rPr>
                <w:rFonts w:ascii="Garamond" w:hAnsi="Garamond"/>
              </w:rPr>
              <w:t>699</w:t>
            </w:r>
            <w:r w:rsidR="0022799F">
              <w:rPr>
                <w:rFonts w:ascii="Garamond" w:hAnsi="Garamond"/>
                <w:lang w:val="en-US"/>
              </w:rPr>
              <w:t>,</w:t>
            </w:r>
            <w:r w:rsidRPr="009622FC">
              <w:rPr>
                <w:rFonts w:ascii="Garamond" w:hAnsi="Garamond"/>
              </w:rPr>
              <w:t>009</w:t>
            </w:r>
          </w:p>
        </w:tc>
      </w:tr>
      <w:tr w:rsidR="00B42460" w:rsidRPr="009622FC" w:rsidTr="00EE6790">
        <w:trPr>
          <w:jc w:val="center"/>
        </w:trPr>
        <w:tc>
          <w:tcPr>
            <w:tcW w:w="2886" w:type="dxa"/>
            <w:gridSpan w:val="2"/>
            <w:tcBorders>
              <w:left w:val="single" w:sz="4" w:space="0" w:color="FFFFFF"/>
              <w:bottom w:val="single" w:sz="4" w:space="0" w:color="FFFFFF"/>
            </w:tcBorders>
            <w:shd w:val="clear" w:color="auto" w:fill="9BBB59"/>
          </w:tcPr>
          <w:p w:rsidR="00B42460" w:rsidRPr="009622FC" w:rsidRDefault="00B42460" w:rsidP="00B42460">
            <w:pPr>
              <w:autoSpaceDE w:val="0"/>
              <w:autoSpaceDN w:val="0"/>
              <w:adjustRightInd w:val="0"/>
              <w:spacing w:after="0"/>
              <w:jc w:val="center"/>
              <w:rPr>
                <w:rFonts w:ascii="Garamond" w:hAnsi="Garamond" w:cs="Calibri"/>
                <w:color w:val="000000"/>
                <w:kern w:val="24"/>
              </w:rPr>
            </w:pPr>
            <w:r w:rsidRPr="009622FC">
              <w:rPr>
                <w:rFonts w:ascii="Garamond" w:hAnsi="Garamond"/>
                <w:color w:val="000000"/>
                <w:kern w:val="24"/>
              </w:rPr>
              <w:t>Total</w:t>
            </w:r>
          </w:p>
        </w:tc>
        <w:tc>
          <w:tcPr>
            <w:tcW w:w="884" w:type="dxa"/>
            <w:shd w:val="clear" w:color="auto" w:fill="EAF1DD"/>
          </w:tcPr>
          <w:p w:rsidR="00B42460" w:rsidRPr="009622FC" w:rsidRDefault="00B42460" w:rsidP="00B42460">
            <w:pPr>
              <w:autoSpaceDE w:val="0"/>
              <w:autoSpaceDN w:val="0"/>
              <w:adjustRightInd w:val="0"/>
              <w:spacing w:after="0"/>
              <w:contextualSpacing/>
              <w:jc w:val="center"/>
              <w:rPr>
                <w:rFonts w:ascii="Garamond" w:hAnsi="Garamond" w:cs="Calibri"/>
                <w:b/>
              </w:rPr>
            </w:pPr>
            <w:r w:rsidRPr="009622FC">
              <w:rPr>
                <w:rFonts w:ascii="Garamond" w:hAnsi="Garamond"/>
                <w:b/>
              </w:rPr>
              <w:t>663</w:t>
            </w:r>
          </w:p>
        </w:tc>
        <w:tc>
          <w:tcPr>
            <w:tcW w:w="990" w:type="dxa"/>
            <w:shd w:val="clear" w:color="auto" w:fill="EAF1DD"/>
          </w:tcPr>
          <w:p w:rsidR="00B42460" w:rsidRPr="009622FC" w:rsidRDefault="00B42460" w:rsidP="00B42460">
            <w:pPr>
              <w:autoSpaceDE w:val="0"/>
              <w:autoSpaceDN w:val="0"/>
              <w:adjustRightInd w:val="0"/>
              <w:spacing w:after="0"/>
              <w:contextualSpacing/>
              <w:jc w:val="center"/>
              <w:rPr>
                <w:rFonts w:ascii="Garamond" w:hAnsi="Garamond" w:cs="Calibri"/>
                <w:b/>
              </w:rPr>
            </w:pPr>
            <w:r w:rsidRPr="009622FC">
              <w:rPr>
                <w:rFonts w:ascii="Garamond" w:hAnsi="Garamond"/>
                <w:b/>
              </w:rPr>
              <w:t>1180</w:t>
            </w:r>
          </w:p>
        </w:tc>
        <w:tc>
          <w:tcPr>
            <w:tcW w:w="933" w:type="dxa"/>
            <w:shd w:val="clear" w:color="auto" w:fill="EAF1DD"/>
          </w:tcPr>
          <w:p w:rsidR="00B42460" w:rsidRPr="009622FC" w:rsidRDefault="00B42460" w:rsidP="00B42460">
            <w:pPr>
              <w:autoSpaceDE w:val="0"/>
              <w:autoSpaceDN w:val="0"/>
              <w:adjustRightInd w:val="0"/>
              <w:spacing w:after="0"/>
              <w:contextualSpacing/>
              <w:jc w:val="center"/>
              <w:rPr>
                <w:rFonts w:ascii="Garamond" w:hAnsi="Garamond" w:cs="Calibri"/>
                <w:b/>
              </w:rPr>
            </w:pPr>
            <w:r w:rsidRPr="009622FC">
              <w:rPr>
                <w:rFonts w:ascii="Garamond" w:hAnsi="Garamond"/>
                <w:b/>
              </w:rPr>
              <w:t>789</w:t>
            </w:r>
          </w:p>
        </w:tc>
        <w:tc>
          <w:tcPr>
            <w:tcW w:w="1219" w:type="dxa"/>
            <w:shd w:val="clear" w:color="auto" w:fill="EAF1DD"/>
          </w:tcPr>
          <w:p w:rsidR="00B42460" w:rsidRPr="009622FC" w:rsidRDefault="00B42460" w:rsidP="00425380">
            <w:pPr>
              <w:autoSpaceDE w:val="0"/>
              <w:autoSpaceDN w:val="0"/>
              <w:adjustRightInd w:val="0"/>
              <w:spacing w:after="0"/>
              <w:contextualSpacing/>
              <w:jc w:val="center"/>
              <w:rPr>
                <w:rFonts w:ascii="Garamond" w:hAnsi="Garamond" w:cs="Calibri"/>
                <w:b/>
              </w:rPr>
            </w:pPr>
            <w:r w:rsidRPr="009622FC">
              <w:rPr>
                <w:rFonts w:ascii="Garamond" w:hAnsi="Garamond"/>
                <w:b/>
              </w:rPr>
              <w:t>1</w:t>
            </w:r>
            <w:r w:rsidR="0022799F">
              <w:rPr>
                <w:rFonts w:ascii="Garamond" w:hAnsi="Garamond"/>
                <w:b/>
                <w:lang w:val="en-US"/>
              </w:rPr>
              <w:t>,</w:t>
            </w:r>
            <w:r w:rsidRPr="009622FC">
              <w:rPr>
                <w:rFonts w:ascii="Garamond" w:hAnsi="Garamond"/>
                <w:b/>
              </w:rPr>
              <w:t>725</w:t>
            </w:r>
            <w:r w:rsidR="00425380">
              <w:rPr>
                <w:rFonts w:ascii="Garamond" w:hAnsi="Garamond"/>
                <w:b/>
                <w:lang w:val="en-US"/>
              </w:rPr>
              <w:t>,</w:t>
            </w:r>
            <w:r w:rsidRPr="009622FC">
              <w:rPr>
                <w:rFonts w:ascii="Garamond" w:hAnsi="Garamond"/>
                <w:b/>
              </w:rPr>
              <w:t>554</w:t>
            </w:r>
          </w:p>
        </w:tc>
        <w:tc>
          <w:tcPr>
            <w:tcW w:w="1219" w:type="dxa"/>
            <w:shd w:val="clear" w:color="auto" w:fill="EAF1DD"/>
          </w:tcPr>
          <w:p w:rsidR="00B42460" w:rsidRPr="009622FC" w:rsidRDefault="00B42460" w:rsidP="0022799F">
            <w:pPr>
              <w:autoSpaceDE w:val="0"/>
              <w:autoSpaceDN w:val="0"/>
              <w:adjustRightInd w:val="0"/>
              <w:spacing w:after="0"/>
              <w:contextualSpacing/>
              <w:jc w:val="center"/>
              <w:rPr>
                <w:rFonts w:ascii="Garamond" w:hAnsi="Garamond" w:cs="Calibri"/>
                <w:b/>
              </w:rPr>
            </w:pPr>
            <w:r w:rsidRPr="009622FC">
              <w:rPr>
                <w:rFonts w:ascii="Garamond" w:hAnsi="Garamond"/>
                <w:b/>
              </w:rPr>
              <w:t>3</w:t>
            </w:r>
            <w:r w:rsidR="0022799F">
              <w:rPr>
                <w:rFonts w:ascii="Garamond" w:hAnsi="Garamond"/>
                <w:b/>
                <w:lang w:val="en-US"/>
              </w:rPr>
              <w:t>,</w:t>
            </w:r>
            <w:r w:rsidRPr="009622FC">
              <w:rPr>
                <w:rFonts w:ascii="Garamond" w:hAnsi="Garamond"/>
                <w:b/>
              </w:rPr>
              <w:t>084</w:t>
            </w:r>
            <w:r w:rsidR="0022799F">
              <w:rPr>
                <w:rFonts w:ascii="Garamond" w:hAnsi="Garamond"/>
                <w:b/>
                <w:lang w:val="en-US"/>
              </w:rPr>
              <w:t>,</w:t>
            </w:r>
            <w:r w:rsidRPr="009622FC">
              <w:rPr>
                <w:rFonts w:ascii="Garamond" w:hAnsi="Garamond"/>
                <w:b/>
              </w:rPr>
              <w:t>134</w:t>
            </w:r>
          </w:p>
        </w:tc>
        <w:tc>
          <w:tcPr>
            <w:tcW w:w="1219" w:type="dxa"/>
            <w:shd w:val="clear" w:color="auto" w:fill="EAF1DD"/>
          </w:tcPr>
          <w:p w:rsidR="00B42460" w:rsidRPr="009622FC" w:rsidRDefault="00B42460" w:rsidP="0022799F">
            <w:pPr>
              <w:autoSpaceDE w:val="0"/>
              <w:autoSpaceDN w:val="0"/>
              <w:adjustRightInd w:val="0"/>
              <w:spacing w:after="0"/>
              <w:contextualSpacing/>
              <w:jc w:val="center"/>
              <w:rPr>
                <w:rFonts w:ascii="Garamond" w:hAnsi="Garamond" w:cs="Calibri"/>
                <w:b/>
              </w:rPr>
            </w:pPr>
            <w:r w:rsidRPr="009622FC">
              <w:rPr>
                <w:rFonts w:ascii="Garamond" w:hAnsi="Garamond"/>
                <w:b/>
              </w:rPr>
              <w:t>3</w:t>
            </w:r>
            <w:r w:rsidR="0022799F">
              <w:rPr>
                <w:rFonts w:ascii="Garamond" w:hAnsi="Garamond"/>
                <w:b/>
                <w:lang w:val="en-US"/>
              </w:rPr>
              <w:t>,</w:t>
            </w:r>
            <w:r w:rsidRPr="009622FC">
              <w:rPr>
                <w:rFonts w:ascii="Garamond" w:hAnsi="Garamond"/>
                <w:b/>
              </w:rPr>
              <w:t>907</w:t>
            </w:r>
            <w:r w:rsidR="0022799F">
              <w:rPr>
                <w:rFonts w:ascii="Garamond" w:hAnsi="Garamond"/>
                <w:b/>
                <w:lang w:val="en-US"/>
              </w:rPr>
              <w:t>,</w:t>
            </w:r>
            <w:r w:rsidRPr="009622FC">
              <w:rPr>
                <w:rFonts w:ascii="Garamond" w:hAnsi="Garamond"/>
                <w:b/>
              </w:rPr>
              <w:t>127</w:t>
            </w:r>
          </w:p>
        </w:tc>
      </w:tr>
    </w:tbl>
    <w:p w:rsidR="00B42460" w:rsidRPr="00EB2089" w:rsidRDefault="0022799F" w:rsidP="00B42460">
      <w:pPr>
        <w:autoSpaceDE w:val="0"/>
        <w:autoSpaceDN w:val="0"/>
        <w:adjustRightInd w:val="0"/>
        <w:spacing w:after="0"/>
        <w:jc w:val="both"/>
        <w:rPr>
          <w:rFonts w:ascii="Garamond" w:hAnsi="Garamond" w:cs="Calibri"/>
          <w:sz w:val="20"/>
          <w:szCs w:val="20"/>
        </w:rPr>
      </w:pPr>
      <w:r w:rsidRPr="00EB2089">
        <w:rPr>
          <w:rFonts w:ascii="Garamond" w:hAnsi="Garamond" w:cs="Calibri"/>
          <w:sz w:val="20"/>
          <w:szCs w:val="20"/>
        </w:rPr>
        <w:t>Source</w:t>
      </w:r>
      <w:r w:rsidR="00B42460" w:rsidRPr="00EB2089">
        <w:rPr>
          <w:rFonts w:ascii="Garamond" w:hAnsi="Garamond" w:cs="Calibri"/>
          <w:sz w:val="20"/>
          <w:szCs w:val="20"/>
        </w:rPr>
        <w:t xml:space="preserve">: Presentation of “Tambang dan Keselamatan Rakyat” (“Mining and Public Safety”), Jatam, 2013 </w:t>
      </w:r>
    </w:p>
    <w:p w:rsidR="00B42460" w:rsidRPr="009622FC" w:rsidRDefault="00B42460" w:rsidP="00B42460">
      <w:pPr>
        <w:autoSpaceDE w:val="0"/>
        <w:autoSpaceDN w:val="0"/>
        <w:adjustRightInd w:val="0"/>
        <w:spacing w:after="0"/>
        <w:jc w:val="both"/>
        <w:rPr>
          <w:rFonts w:ascii="Garamond" w:hAnsi="Garamond" w:cs="Calibri"/>
        </w:rPr>
      </w:pPr>
    </w:p>
    <w:p w:rsidR="00B42460" w:rsidRPr="009622FC" w:rsidRDefault="00B42460" w:rsidP="00B42460">
      <w:pPr>
        <w:autoSpaceDE w:val="0"/>
        <w:autoSpaceDN w:val="0"/>
        <w:adjustRightInd w:val="0"/>
        <w:spacing w:after="0"/>
        <w:jc w:val="both"/>
        <w:rPr>
          <w:rFonts w:ascii="Garamond" w:eastAsia="Times New Roman" w:hAnsi="Garamond" w:cs="Calibri"/>
          <w:color w:val="000000"/>
          <w:sz w:val="27"/>
          <w:szCs w:val="27"/>
        </w:rPr>
      </w:pPr>
      <w:r w:rsidRPr="009622FC">
        <w:rPr>
          <w:rFonts w:ascii="Garamond" w:hAnsi="Garamond" w:cs="AGaramondPro-Regular"/>
          <w:b/>
        </w:rPr>
        <w:lastRenderedPageBreak/>
        <w:t>The are</w:t>
      </w:r>
      <w:r w:rsidR="00310422" w:rsidRPr="009622FC">
        <w:rPr>
          <w:rFonts w:ascii="Garamond" w:hAnsi="Garamond" w:cs="AGaramondPro-Regular"/>
          <w:b/>
        </w:rPr>
        <w:t>a</w:t>
      </w:r>
      <w:r w:rsidRPr="009622FC">
        <w:rPr>
          <w:rFonts w:ascii="Garamond" w:hAnsi="Garamond" w:cs="AGaramondPro-Regular"/>
          <w:b/>
        </w:rPr>
        <w:t xml:space="preserve"> covered by oil palm in the regions continues to grow, particularly in Sumatra and Kalimantan</w:t>
      </w:r>
      <w:r w:rsidRPr="009622FC">
        <w:rPr>
          <w:rFonts w:ascii="Garamond" w:hAnsi="Garamond" w:cs="AGaramondPro-Regular"/>
        </w:rPr>
        <w:t xml:space="preserve">. Indonesia has been the world’s greatest producer of palm oil since 2007, when it took over the title from Malaysia, the current number two. </w:t>
      </w:r>
      <w:r w:rsidR="00310422" w:rsidRPr="009622FC">
        <w:rPr>
          <w:rFonts w:ascii="Garamond" w:hAnsi="Garamond"/>
        </w:rPr>
        <w:t xml:space="preserve">Oil palm plantations have </w:t>
      </w:r>
      <w:r w:rsidRPr="009622FC">
        <w:rPr>
          <w:rFonts w:ascii="Garamond" w:hAnsi="Garamond"/>
        </w:rPr>
        <w:t xml:space="preserve">expanded to almost all of Indonesia’s territories, especially on the two large islands of Sumatra and Kalimantan. </w:t>
      </w:r>
      <w:r w:rsidR="000E0E55">
        <w:rPr>
          <w:rFonts w:ascii="Garamond" w:hAnsi="Garamond"/>
          <w:color w:val="000000"/>
          <w:szCs w:val="26"/>
        </w:rPr>
        <w:t>I</w:t>
      </w:r>
      <w:r w:rsidR="00B84EDC">
        <w:rPr>
          <w:rFonts w:ascii="Garamond" w:hAnsi="Garamond"/>
          <w:color w:val="000000"/>
          <w:szCs w:val="26"/>
        </w:rPr>
        <w:t>n 2012, Sumatra hosted 62.5 per</w:t>
      </w:r>
      <w:r w:rsidR="000E0E55">
        <w:rPr>
          <w:rFonts w:ascii="Garamond" w:hAnsi="Garamond"/>
          <w:color w:val="000000"/>
          <w:szCs w:val="26"/>
        </w:rPr>
        <w:t>cent</w:t>
      </w:r>
      <w:r w:rsidRPr="009622FC">
        <w:rPr>
          <w:rFonts w:ascii="Garamond" w:hAnsi="Garamond"/>
          <w:color w:val="000000"/>
          <w:szCs w:val="26"/>
        </w:rPr>
        <w:t xml:space="preserve"> of the oil pal</w:t>
      </w:r>
      <w:r w:rsidR="00310422" w:rsidRPr="009622FC">
        <w:rPr>
          <w:rFonts w:ascii="Garamond" w:hAnsi="Garamond"/>
          <w:color w:val="000000"/>
          <w:szCs w:val="26"/>
        </w:rPr>
        <w:t>m plantation land in the nation</w:t>
      </w:r>
      <w:r w:rsidR="000E0E55">
        <w:rPr>
          <w:rFonts w:ascii="Garamond" w:hAnsi="Garamond"/>
          <w:color w:val="000000"/>
          <w:szCs w:val="26"/>
        </w:rPr>
        <w:t xml:space="preserve"> with 5,913,585 Ha, </w:t>
      </w:r>
      <w:r w:rsidRPr="009622FC">
        <w:rPr>
          <w:rFonts w:ascii="Garamond" w:hAnsi="Garamond"/>
          <w:color w:val="000000"/>
          <w:szCs w:val="26"/>
        </w:rPr>
        <w:t>contributing 73.6</w:t>
      </w:r>
      <w:r w:rsidR="000E0E55">
        <w:rPr>
          <w:rFonts w:ascii="Garamond" w:hAnsi="Garamond"/>
          <w:color w:val="000000"/>
          <w:szCs w:val="26"/>
          <w:lang w:val="en-US"/>
        </w:rPr>
        <w:t xml:space="preserve"> </w:t>
      </w:r>
      <w:r w:rsidR="00B84EDC">
        <w:rPr>
          <w:rFonts w:ascii="Garamond" w:hAnsi="Garamond"/>
          <w:color w:val="000000"/>
          <w:szCs w:val="26"/>
        </w:rPr>
        <w:t>per</w:t>
      </w:r>
      <w:r w:rsidR="000E0E55">
        <w:rPr>
          <w:rFonts w:ascii="Garamond" w:hAnsi="Garamond"/>
          <w:color w:val="000000"/>
          <w:szCs w:val="26"/>
        </w:rPr>
        <w:t>cent</w:t>
      </w:r>
      <w:r w:rsidRPr="009622FC">
        <w:rPr>
          <w:rFonts w:ascii="Garamond" w:hAnsi="Garamond"/>
          <w:color w:val="000000"/>
          <w:szCs w:val="26"/>
        </w:rPr>
        <w:t xml:space="preserve"> of the total national production (17,317,295 tons). Meanwhile, Kalimantan hosts the second-largest area of plantation land, representing 31</w:t>
      </w:r>
      <w:r w:rsidR="000E0E55" w:rsidRPr="000E0E55">
        <w:rPr>
          <w:rFonts w:ascii="Garamond" w:hAnsi="Garamond"/>
          <w:color w:val="000000"/>
          <w:szCs w:val="26"/>
        </w:rPr>
        <w:t xml:space="preserve"> </w:t>
      </w:r>
      <w:r w:rsidR="00425380">
        <w:rPr>
          <w:rFonts w:ascii="Garamond" w:hAnsi="Garamond"/>
          <w:color w:val="000000"/>
          <w:szCs w:val="26"/>
        </w:rPr>
        <w:t>per</w:t>
      </w:r>
      <w:r w:rsidR="000E0E55">
        <w:rPr>
          <w:rFonts w:ascii="Garamond" w:hAnsi="Garamond"/>
          <w:color w:val="000000"/>
          <w:szCs w:val="26"/>
        </w:rPr>
        <w:t>cent</w:t>
      </w:r>
      <w:r w:rsidRPr="009622FC">
        <w:rPr>
          <w:rFonts w:ascii="Garamond" w:hAnsi="Garamond"/>
          <w:color w:val="000000"/>
          <w:szCs w:val="26"/>
        </w:rPr>
        <w:t xml:space="preserve"> or 2,814,7</w:t>
      </w:r>
      <w:r w:rsidR="00310422" w:rsidRPr="009622FC">
        <w:rPr>
          <w:rFonts w:ascii="Garamond" w:hAnsi="Garamond"/>
          <w:color w:val="000000"/>
          <w:szCs w:val="26"/>
        </w:rPr>
        <w:t>82 Ha, contributing 23.5</w:t>
      </w:r>
      <w:r w:rsidR="000E0E55" w:rsidRPr="000E0E55">
        <w:rPr>
          <w:rFonts w:ascii="Garamond" w:hAnsi="Garamond"/>
          <w:color w:val="000000"/>
          <w:szCs w:val="26"/>
        </w:rPr>
        <w:t xml:space="preserve"> </w:t>
      </w:r>
      <w:r w:rsidR="00B84EDC">
        <w:rPr>
          <w:rFonts w:ascii="Garamond" w:hAnsi="Garamond"/>
          <w:color w:val="000000"/>
          <w:szCs w:val="26"/>
        </w:rPr>
        <w:t>per</w:t>
      </w:r>
      <w:r w:rsidR="000E0E55">
        <w:rPr>
          <w:rFonts w:ascii="Garamond" w:hAnsi="Garamond"/>
          <w:color w:val="000000"/>
          <w:szCs w:val="26"/>
        </w:rPr>
        <w:t>cent</w:t>
      </w:r>
      <w:r w:rsidR="00310422" w:rsidRPr="009622FC">
        <w:rPr>
          <w:rFonts w:ascii="Garamond" w:hAnsi="Garamond"/>
          <w:color w:val="000000"/>
          <w:szCs w:val="26"/>
        </w:rPr>
        <w:t xml:space="preserve"> of total</w:t>
      </w:r>
      <w:r w:rsidRPr="009622FC">
        <w:rPr>
          <w:rFonts w:ascii="Garamond" w:hAnsi="Garamond"/>
          <w:color w:val="000000"/>
          <w:szCs w:val="26"/>
        </w:rPr>
        <w:t xml:space="preserve"> production (5,520,207 tons)</w:t>
      </w:r>
      <w:r w:rsidR="000E0E55">
        <w:rPr>
          <w:rFonts w:ascii="Garamond" w:hAnsi="Garamond"/>
          <w:color w:val="000000"/>
          <w:szCs w:val="26"/>
          <w:lang w:val="en-US"/>
        </w:rPr>
        <w:t>.</w:t>
      </w:r>
      <w:r w:rsidRPr="009622FC">
        <w:rPr>
          <w:rStyle w:val="FootnoteReference"/>
          <w:rFonts w:ascii="Garamond" w:eastAsia="Times New Roman" w:hAnsi="Garamond" w:cs="Calibri"/>
          <w:color w:val="000000"/>
          <w:szCs w:val="27"/>
        </w:rPr>
        <w:footnoteReference w:id="23"/>
      </w:r>
      <w:r w:rsidRPr="009622FC">
        <w:rPr>
          <w:rFonts w:ascii="Garamond" w:hAnsi="Garamond"/>
          <w:color w:val="000000"/>
          <w:sz w:val="27"/>
          <w:szCs w:val="26"/>
        </w:rPr>
        <w:t xml:space="preserve"> </w:t>
      </w:r>
      <w:r w:rsidRPr="009622FC">
        <w:rPr>
          <w:rFonts w:ascii="Garamond" w:hAnsi="Garamond"/>
          <w:color w:val="000000"/>
          <w:szCs w:val="26"/>
        </w:rPr>
        <w:t>The progress of oil palm plantation expansion in th</w:t>
      </w:r>
      <w:r w:rsidR="00310422" w:rsidRPr="009622FC">
        <w:rPr>
          <w:rFonts w:ascii="Garamond" w:hAnsi="Garamond"/>
          <w:color w:val="000000"/>
          <w:szCs w:val="26"/>
        </w:rPr>
        <w:t>e three provinces during 2009-</w:t>
      </w:r>
      <w:r w:rsidRPr="009622FC">
        <w:rPr>
          <w:rFonts w:ascii="Garamond" w:hAnsi="Garamond"/>
          <w:color w:val="000000"/>
          <w:szCs w:val="26"/>
        </w:rPr>
        <w:t xml:space="preserve">2011 is indicated in the following table. </w:t>
      </w:r>
    </w:p>
    <w:p w:rsidR="00B42460" w:rsidRPr="009622FC" w:rsidRDefault="00B42460" w:rsidP="00B42460">
      <w:pPr>
        <w:autoSpaceDE w:val="0"/>
        <w:autoSpaceDN w:val="0"/>
        <w:adjustRightInd w:val="0"/>
        <w:spacing w:after="0"/>
        <w:jc w:val="both"/>
        <w:rPr>
          <w:rFonts w:ascii="Garamond" w:hAnsi="Garamond" w:cs="AGaramondPro-Regular"/>
        </w:rPr>
      </w:pPr>
    </w:p>
    <w:p w:rsidR="00B42460" w:rsidRDefault="00B42460" w:rsidP="00B42460">
      <w:pPr>
        <w:autoSpaceDE w:val="0"/>
        <w:autoSpaceDN w:val="0"/>
        <w:adjustRightInd w:val="0"/>
        <w:spacing w:after="0"/>
        <w:jc w:val="center"/>
        <w:rPr>
          <w:rFonts w:ascii="Garamond" w:hAnsi="Garamond" w:cs="AGaramondPro-Regular"/>
          <w:b/>
          <w:lang w:val="en-US"/>
        </w:rPr>
      </w:pPr>
      <w:r w:rsidRPr="009622FC">
        <w:rPr>
          <w:rFonts w:ascii="Garamond" w:hAnsi="Garamond" w:cs="AGaramondPro-Regular"/>
          <w:b/>
        </w:rPr>
        <w:t>Table 2.5 Oil Palm Areas by Province, 2008-2012 (in Ha)</w:t>
      </w:r>
    </w:p>
    <w:p w:rsidR="005418E1" w:rsidRPr="005418E1" w:rsidRDefault="005418E1" w:rsidP="00B42460">
      <w:pPr>
        <w:autoSpaceDE w:val="0"/>
        <w:autoSpaceDN w:val="0"/>
        <w:adjustRightInd w:val="0"/>
        <w:spacing w:after="0"/>
        <w:jc w:val="center"/>
        <w:rPr>
          <w:rFonts w:ascii="Garamond" w:hAnsi="Garamond" w:cs="AGaramondPro-Regular"/>
          <w:b/>
          <w:lang w:val="en-US"/>
        </w:rPr>
      </w:pPr>
    </w:p>
    <w:tbl>
      <w:tblPr>
        <w:tblW w:w="8386" w:type="dxa"/>
        <w:jc w:val="center"/>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625"/>
        <w:gridCol w:w="2070"/>
        <w:gridCol w:w="1227"/>
        <w:gridCol w:w="1116"/>
        <w:gridCol w:w="1116"/>
        <w:gridCol w:w="1116"/>
        <w:gridCol w:w="1116"/>
      </w:tblGrid>
      <w:tr w:rsidR="00B42460" w:rsidRPr="009622FC" w:rsidTr="00425380">
        <w:trPr>
          <w:trHeight w:val="300"/>
          <w:jc w:val="center"/>
        </w:trPr>
        <w:tc>
          <w:tcPr>
            <w:tcW w:w="625" w:type="dxa"/>
            <w:vMerge w:val="restart"/>
            <w:tcBorders>
              <w:top w:val="single" w:sz="4" w:space="0" w:color="F79646"/>
              <w:left w:val="single" w:sz="4" w:space="0" w:color="F79646"/>
              <w:bottom w:val="single" w:sz="4" w:space="0" w:color="F79646"/>
              <w:right w:val="nil"/>
            </w:tcBorders>
            <w:shd w:val="clear" w:color="auto" w:fill="F79646"/>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No</w:t>
            </w:r>
          </w:p>
        </w:tc>
        <w:tc>
          <w:tcPr>
            <w:tcW w:w="2070" w:type="dxa"/>
            <w:vMerge w:val="restart"/>
            <w:tcBorders>
              <w:top w:val="single" w:sz="4" w:space="0" w:color="F79646"/>
              <w:left w:val="nil"/>
              <w:bottom w:val="single" w:sz="4" w:space="0" w:color="F79646"/>
              <w:right w:val="nil"/>
            </w:tcBorders>
            <w:shd w:val="clear" w:color="auto" w:fill="F79646"/>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Regions</w:t>
            </w:r>
          </w:p>
        </w:tc>
        <w:tc>
          <w:tcPr>
            <w:tcW w:w="5691" w:type="dxa"/>
            <w:gridSpan w:val="5"/>
            <w:tcBorders>
              <w:top w:val="single" w:sz="4" w:space="0" w:color="F79646"/>
              <w:left w:val="nil"/>
              <w:bottom w:val="single" w:sz="4" w:space="0" w:color="F79646"/>
              <w:right w:val="single" w:sz="4" w:space="0" w:color="F79646"/>
            </w:tcBorders>
            <w:shd w:val="clear" w:color="auto" w:fill="F79646"/>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Year</w:t>
            </w:r>
          </w:p>
        </w:tc>
      </w:tr>
      <w:tr w:rsidR="00B42460" w:rsidRPr="009622FC" w:rsidTr="00425380">
        <w:trPr>
          <w:trHeight w:val="300"/>
          <w:jc w:val="center"/>
        </w:trPr>
        <w:tc>
          <w:tcPr>
            <w:tcW w:w="625" w:type="dxa"/>
            <w:vMerge/>
            <w:shd w:val="clear" w:color="auto" w:fill="FDE9D9"/>
          </w:tcPr>
          <w:p w:rsidR="00B42460" w:rsidRPr="009622FC" w:rsidRDefault="00B42460" w:rsidP="00B42460">
            <w:pPr>
              <w:spacing w:after="0"/>
              <w:rPr>
                <w:rFonts w:ascii="Garamond" w:eastAsia="Times New Roman" w:hAnsi="Garamond" w:cs="Calibri"/>
                <w:b/>
                <w:bCs/>
                <w:color w:val="000000"/>
                <w:lang w:eastAsia="id-ID"/>
              </w:rPr>
            </w:pPr>
          </w:p>
        </w:tc>
        <w:tc>
          <w:tcPr>
            <w:tcW w:w="2070" w:type="dxa"/>
            <w:vMerge/>
            <w:shd w:val="clear" w:color="auto" w:fill="FDE9D9"/>
          </w:tcPr>
          <w:p w:rsidR="00B42460" w:rsidRPr="009622FC" w:rsidRDefault="00B42460" w:rsidP="00B42460">
            <w:pPr>
              <w:spacing w:after="0"/>
              <w:rPr>
                <w:rFonts w:ascii="Garamond" w:eastAsia="Times New Roman" w:hAnsi="Garamond" w:cs="Calibri"/>
                <w:b/>
                <w:bCs/>
                <w:color w:val="000000"/>
                <w:lang w:eastAsia="id-ID"/>
              </w:rPr>
            </w:pPr>
          </w:p>
        </w:tc>
        <w:tc>
          <w:tcPr>
            <w:tcW w:w="1227"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2008</w:t>
            </w:r>
          </w:p>
        </w:tc>
        <w:tc>
          <w:tcPr>
            <w:tcW w:w="1116"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2009</w:t>
            </w:r>
          </w:p>
        </w:tc>
        <w:tc>
          <w:tcPr>
            <w:tcW w:w="1116"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2010</w:t>
            </w:r>
          </w:p>
        </w:tc>
        <w:tc>
          <w:tcPr>
            <w:tcW w:w="1116"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2011</w:t>
            </w:r>
          </w:p>
        </w:tc>
        <w:tc>
          <w:tcPr>
            <w:tcW w:w="1116"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2012*</w:t>
            </w:r>
          </w:p>
        </w:tc>
      </w:tr>
      <w:tr w:rsidR="00B42460" w:rsidRPr="009622FC" w:rsidTr="00425380">
        <w:trPr>
          <w:trHeight w:val="300"/>
          <w:jc w:val="center"/>
        </w:trPr>
        <w:tc>
          <w:tcPr>
            <w:tcW w:w="625" w:type="dxa"/>
            <w:shd w:val="clear" w:color="auto" w:fill="auto"/>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1</w:t>
            </w:r>
          </w:p>
        </w:tc>
        <w:tc>
          <w:tcPr>
            <w:tcW w:w="2070" w:type="dxa"/>
            <w:shd w:val="clear" w:color="auto" w:fill="auto"/>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Sumatra</w:t>
            </w:r>
          </w:p>
        </w:tc>
        <w:tc>
          <w:tcPr>
            <w:tcW w:w="1227"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w:t>
            </w:r>
            <w:r w:rsidR="00425380">
              <w:rPr>
                <w:rFonts w:ascii="Garamond" w:hAnsi="Garamond" w:cs="Calibri"/>
                <w:color w:val="000000"/>
                <w:lang w:val="en-US"/>
              </w:rPr>
              <w:t>,</w:t>
            </w:r>
            <w:r w:rsidRPr="009622FC">
              <w:rPr>
                <w:rFonts w:ascii="Garamond" w:hAnsi="Garamond" w:cs="Calibri"/>
                <w:color w:val="000000"/>
              </w:rPr>
              <w:t>029</w:t>
            </w:r>
            <w:r w:rsidR="00425380">
              <w:rPr>
                <w:rFonts w:ascii="Garamond" w:hAnsi="Garamond" w:cs="Calibri"/>
                <w:color w:val="000000"/>
                <w:lang w:val="en-US"/>
              </w:rPr>
              <w:t>,</w:t>
            </w:r>
            <w:r w:rsidRPr="009622FC">
              <w:rPr>
                <w:rFonts w:ascii="Garamond" w:hAnsi="Garamond" w:cs="Calibri"/>
                <w:color w:val="000000"/>
              </w:rPr>
              <w:t>822</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w:t>
            </w:r>
            <w:r w:rsidR="00425380">
              <w:rPr>
                <w:rFonts w:ascii="Garamond" w:hAnsi="Garamond" w:cs="Calibri"/>
                <w:color w:val="000000"/>
                <w:lang w:val="en-US"/>
              </w:rPr>
              <w:t>,</w:t>
            </w:r>
            <w:r w:rsidRPr="009622FC">
              <w:rPr>
                <w:rFonts w:ascii="Garamond" w:hAnsi="Garamond" w:cs="Calibri"/>
                <w:color w:val="000000"/>
              </w:rPr>
              <w:t>415</w:t>
            </w:r>
            <w:r w:rsidR="00425380">
              <w:rPr>
                <w:rFonts w:ascii="Garamond" w:hAnsi="Garamond" w:cs="Calibri"/>
                <w:color w:val="000000"/>
                <w:lang w:val="en-US"/>
              </w:rPr>
              <w:t>,</w:t>
            </w:r>
            <w:r w:rsidRPr="009622FC">
              <w:rPr>
                <w:rFonts w:ascii="Garamond" w:hAnsi="Garamond" w:cs="Calibri"/>
                <w:color w:val="000000"/>
              </w:rPr>
              <w:t>371</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w:t>
            </w:r>
            <w:r w:rsidR="00425380">
              <w:rPr>
                <w:rFonts w:ascii="Garamond" w:hAnsi="Garamond" w:cs="Calibri"/>
                <w:color w:val="000000"/>
                <w:lang w:val="en-US"/>
              </w:rPr>
              <w:t>,</w:t>
            </w:r>
            <w:r w:rsidRPr="009622FC">
              <w:rPr>
                <w:rFonts w:ascii="Garamond" w:hAnsi="Garamond" w:cs="Calibri"/>
                <w:color w:val="000000"/>
              </w:rPr>
              <w:t>641</w:t>
            </w:r>
            <w:r w:rsidR="00425380">
              <w:rPr>
                <w:rFonts w:ascii="Garamond" w:hAnsi="Garamond" w:cs="Calibri"/>
                <w:color w:val="000000"/>
                <w:lang w:val="en-US"/>
              </w:rPr>
              <w:t>,</w:t>
            </w:r>
            <w:r w:rsidRPr="009622FC">
              <w:rPr>
                <w:rFonts w:ascii="Garamond" w:hAnsi="Garamond" w:cs="Calibri"/>
                <w:color w:val="000000"/>
              </w:rPr>
              <w:t>367</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586</w:t>
            </w:r>
            <w:r w:rsidR="00425380">
              <w:rPr>
                <w:rFonts w:ascii="Garamond" w:hAnsi="Garamond" w:cs="Calibri"/>
                <w:color w:val="000000"/>
                <w:lang w:val="en-US"/>
              </w:rPr>
              <w:t>,</w:t>
            </w:r>
            <w:r w:rsidRPr="009622FC">
              <w:rPr>
                <w:rFonts w:ascii="Garamond" w:hAnsi="Garamond" w:cs="Calibri"/>
                <w:color w:val="000000"/>
              </w:rPr>
              <w:t>176</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w:t>
            </w:r>
            <w:r w:rsidR="00425380">
              <w:rPr>
                <w:rFonts w:ascii="Garamond" w:hAnsi="Garamond" w:cs="Calibri"/>
                <w:color w:val="000000"/>
                <w:lang w:val="en-US"/>
              </w:rPr>
              <w:t>,</w:t>
            </w:r>
            <w:r w:rsidRPr="009622FC">
              <w:rPr>
                <w:rFonts w:ascii="Garamond" w:hAnsi="Garamond" w:cs="Calibri"/>
                <w:color w:val="000000"/>
              </w:rPr>
              <w:t>913</w:t>
            </w:r>
            <w:r w:rsidR="00425380">
              <w:rPr>
                <w:rFonts w:ascii="Garamond" w:hAnsi="Garamond" w:cs="Calibri"/>
                <w:color w:val="000000"/>
                <w:lang w:val="en-US"/>
              </w:rPr>
              <w:t>,</w:t>
            </w:r>
            <w:r w:rsidRPr="009622FC">
              <w:rPr>
                <w:rFonts w:ascii="Garamond" w:hAnsi="Garamond" w:cs="Calibri"/>
                <w:color w:val="000000"/>
              </w:rPr>
              <w:t>585</w:t>
            </w:r>
          </w:p>
        </w:tc>
      </w:tr>
      <w:tr w:rsidR="00B42460" w:rsidRPr="009622FC" w:rsidTr="00425380">
        <w:trPr>
          <w:trHeight w:val="300"/>
          <w:jc w:val="center"/>
        </w:trPr>
        <w:tc>
          <w:tcPr>
            <w:tcW w:w="625"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2</w:t>
            </w:r>
          </w:p>
        </w:tc>
        <w:tc>
          <w:tcPr>
            <w:tcW w:w="2070" w:type="dxa"/>
            <w:shd w:val="clear" w:color="auto" w:fill="FDE9D9"/>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Java</w:t>
            </w:r>
          </w:p>
        </w:tc>
        <w:tc>
          <w:tcPr>
            <w:tcW w:w="1227"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26</w:t>
            </w:r>
            <w:r w:rsidR="00425380">
              <w:rPr>
                <w:rFonts w:ascii="Garamond" w:hAnsi="Garamond" w:cs="Calibri"/>
                <w:color w:val="000000"/>
                <w:lang w:val="en-US"/>
              </w:rPr>
              <w:t>,</w:t>
            </w:r>
            <w:r w:rsidRPr="009622FC">
              <w:rPr>
                <w:rFonts w:ascii="Garamond" w:hAnsi="Garamond" w:cs="Calibri"/>
                <w:color w:val="000000"/>
              </w:rPr>
              <w:t>425</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27</w:t>
            </w:r>
            <w:r w:rsidR="00425380">
              <w:rPr>
                <w:rFonts w:ascii="Garamond" w:hAnsi="Garamond" w:cs="Calibri"/>
                <w:color w:val="000000"/>
                <w:lang w:val="en-US"/>
              </w:rPr>
              <w:t>,</w:t>
            </w:r>
            <w:r w:rsidRPr="009622FC">
              <w:rPr>
                <w:rFonts w:ascii="Garamond" w:hAnsi="Garamond" w:cs="Calibri"/>
                <w:color w:val="000000"/>
              </w:rPr>
              <w:t>163</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28</w:t>
            </w:r>
            <w:r w:rsidR="00425380">
              <w:rPr>
                <w:rFonts w:ascii="Garamond" w:hAnsi="Garamond" w:cs="Calibri"/>
                <w:color w:val="000000"/>
                <w:lang w:val="en-US"/>
              </w:rPr>
              <w:t>,</w:t>
            </w:r>
            <w:r w:rsidRPr="009622FC">
              <w:rPr>
                <w:rFonts w:ascii="Garamond" w:hAnsi="Garamond" w:cs="Calibri"/>
                <w:color w:val="000000"/>
              </w:rPr>
              <w:t>057</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25</w:t>
            </w:r>
            <w:r w:rsidR="00425380">
              <w:rPr>
                <w:rFonts w:ascii="Garamond" w:hAnsi="Garamond" w:cs="Calibri"/>
                <w:color w:val="000000"/>
                <w:lang w:val="en-US"/>
              </w:rPr>
              <w:t>,</w:t>
            </w:r>
            <w:r w:rsidRPr="009622FC">
              <w:rPr>
                <w:rFonts w:ascii="Garamond" w:hAnsi="Garamond" w:cs="Calibri"/>
                <w:color w:val="000000"/>
              </w:rPr>
              <w:t>687</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26</w:t>
            </w:r>
            <w:r w:rsidR="00425380">
              <w:rPr>
                <w:rFonts w:ascii="Garamond" w:hAnsi="Garamond" w:cs="Calibri"/>
                <w:color w:val="000000"/>
                <w:lang w:val="en-US"/>
              </w:rPr>
              <w:t>,</w:t>
            </w:r>
            <w:r w:rsidRPr="009622FC">
              <w:rPr>
                <w:rFonts w:ascii="Garamond" w:hAnsi="Garamond" w:cs="Calibri"/>
                <w:color w:val="000000"/>
              </w:rPr>
              <w:t>112</w:t>
            </w:r>
          </w:p>
        </w:tc>
      </w:tr>
      <w:tr w:rsidR="00B42460" w:rsidRPr="009622FC" w:rsidTr="00425380">
        <w:trPr>
          <w:trHeight w:val="300"/>
          <w:jc w:val="center"/>
        </w:trPr>
        <w:tc>
          <w:tcPr>
            <w:tcW w:w="625" w:type="dxa"/>
            <w:shd w:val="clear" w:color="auto" w:fill="auto"/>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3</w:t>
            </w:r>
          </w:p>
        </w:tc>
        <w:tc>
          <w:tcPr>
            <w:tcW w:w="2070" w:type="dxa"/>
            <w:shd w:val="clear" w:color="auto" w:fill="auto"/>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Kalimantan</w:t>
            </w:r>
          </w:p>
        </w:tc>
        <w:tc>
          <w:tcPr>
            <w:tcW w:w="1227"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w:t>
            </w:r>
            <w:r w:rsidR="00425380">
              <w:rPr>
                <w:rFonts w:ascii="Garamond" w:hAnsi="Garamond" w:cs="Calibri"/>
                <w:color w:val="000000"/>
                <w:lang w:val="en-US"/>
              </w:rPr>
              <w:t>,</w:t>
            </w:r>
            <w:r w:rsidRPr="009622FC">
              <w:rPr>
                <w:rFonts w:ascii="Garamond" w:hAnsi="Garamond" w:cs="Calibri"/>
                <w:color w:val="000000"/>
              </w:rPr>
              <w:t>070</w:t>
            </w:r>
            <w:r w:rsidR="00425380">
              <w:rPr>
                <w:rFonts w:ascii="Garamond" w:hAnsi="Garamond" w:cs="Calibri"/>
                <w:color w:val="000000"/>
                <w:lang w:val="en-US"/>
              </w:rPr>
              <w:t>,</w:t>
            </w:r>
            <w:r w:rsidRPr="009622FC">
              <w:rPr>
                <w:rFonts w:ascii="Garamond" w:hAnsi="Garamond" w:cs="Calibri"/>
                <w:color w:val="000000"/>
              </w:rPr>
              <w:t>167</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w:t>
            </w:r>
            <w:r w:rsidR="00425380">
              <w:rPr>
                <w:rFonts w:ascii="Garamond" w:hAnsi="Garamond" w:cs="Calibri"/>
                <w:color w:val="000000"/>
                <w:lang w:val="en-US"/>
              </w:rPr>
              <w:t>,</w:t>
            </w:r>
            <w:r w:rsidRPr="009622FC">
              <w:rPr>
                <w:rFonts w:ascii="Garamond" w:hAnsi="Garamond" w:cs="Calibri"/>
                <w:color w:val="000000"/>
              </w:rPr>
              <w:t>537</w:t>
            </w:r>
            <w:r w:rsidR="00425380">
              <w:rPr>
                <w:rFonts w:ascii="Garamond" w:hAnsi="Garamond" w:cs="Calibri"/>
                <w:color w:val="000000"/>
                <w:lang w:val="en-US"/>
              </w:rPr>
              <w:t>,</w:t>
            </w:r>
            <w:r w:rsidRPr="009622FC">
              <w:rPr>
                <w:rFonts w:ascii="Garamond" w:hAnsi="Garamond" w:cs="Calibri"/>
                <w:color w:val="000000"/>
              </w:rPr>
              <w:t>015</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w:t>
            </w:r>
            <w:r w:rsidR="00425380">
              <w:rPr>
                <w:rFonts w:ascii="Garamond" w:hAnsi="Garamond" w:cs="Calibri"/>
                <w:color w:val="000000"/>
                <w:lang w:val="en-US"/>
              </w:rPr>
              <w:t>,</w:t>
            </w:r>
            <w:r w:rsidRPr="009622FC">
              <w:rPr>
                <w:rFonts w:ascii="Garamond" w:hAnsi="Garamond" w:cs="Calibri"/>
                <w:color w:val="000000"/>
              </w:rPr>
              <w:t>462</w:t>
            </w:r>
            <w:r w:rsidR="00425380">
              <w:rPr>
                <w:rFonts w:ascii="Garamond" w:hAnsi="Garamond" w:cs="Calibri"/>
                <w:color w:val="000000"/>
                <w:lang w:val="en-US"/>
              </w:rPr>
              <w:t>,</w:t>
            </w:r>
            <w:r w:rsidRPr="009622FC">
              <w:rPr>
                <w:rFonts w:ascii="Garamond" w:hAnsi="Garamond" w:cs="Calibri"/>
                <w:color w:val="000000"/>
              </w:rPr>
              <w:t>207</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w:t>
            </w:r>
            <w:r w:rsidR="00425380">
              <w:rPr>
                <w:rFonts w:ascii="Garamond" w:hAnsi="Garamond" w:cs="Calibri"/>
                <w:color w:val="000000"/>
                <w:lang w:val="en-US"/>
              </w:rPr>
              <w:t>,</w:t>
            </w:r>
            <w:r w:rsidRPr="009622FC">
              <w:rPr>
                <w:rFonts w:ascii="Garamond" w:hAnsi="Garamond" w:cs="Calibri"/>
                <w:color w:val="000000"/>
              </w:rPr>
              <w:t>782</w:t>
            </w:r>
            <w:r w:rsidR="00425380">
              <w:rPr>
                <w:rFonts w:ascii="Garamond" w:hAnsi="Garamond" w:cs="Calibri"/>
                <w:color w:val="000000"/>
                <w:lang w:val="en-US"/>
              </w:rPr>
              <w:t>,</w:t>
            </w:r>
            <w:r w:rsidRPr="009622FC">
              <w:rPr>
                <w:rFonts w:ascii="Garamond" w:hAnsi="Garamond" w:cs="Calibri"/>
                <w:color w:val="000000"/>
              </w:rPr>
              <w:t>929</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w:t>
            </w:r>
            <w:r w:rsidR="00425380">
              <w:rPr>
                <w:rFonts w:ascii="Garamond" w:hAnsi="Garamond" w:cs="Calibri"/>
                <w:color w:val="000000"/>
                <w:lang w:val="en-US"/>
              </w:rPr>
              <w:t>,</w:t>
            </w:r>
            <w:r w:rsidRPr="009622FC">
              <w:rPr>
                <w:rFonts w:ascii="Garamond" w:hAnsi="Garamond" w:cs="Calibri"/>
                <w:color w:val="000000"/>
              </w:rPr>
              <w:t>814</w:t>
            </w:r>
            <w:r w:rsidR="00425380">
              <w:rPr>
                <w:rFonts w:ascii="Garamond" w:hAnsi="Garamond" w:cs="Calibri"/>
                <w:color w:val="000000"/>
                <w:lang w:val="en-US"/>
              </w:rPr>
              <w:t>,</w:t>
            </w:r>
            <w:r w:rsidRPr="009622FC">
              <w:rPr>
                <w:rFonts w:ascii="Garamond" w:hAnsi="Garamond" w:cs="Calibri"/>
                <w:color w:val="000000"/>
              </w:rPr>
              <w:t>782</w:t>
            </w:r>
          </w:p>
        </w:tc>
      </w:tr>
      <w:tr w:rsidR="00B42460" w:rsidRPr="009622FC" w:rsidTr="00425380">
        <w:trPr>
          <w:trHeight w:val="300"/>
          <w:jc w:val="center"/>
        </w:trPr>
        <w:tc>
          <w:tcPr>
            <w:tcW w:w="625"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4</w:t>
            </w:r>
          </w:p>
        </w:tc>
        <w:tc>
          <w:tcPr>
            <w:tcW w:w="2070" w:type="dxa"/>
            <w:shd w:val="clear" w:color="auto" w:fill="FDE9D9"/>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Sulawesi</w:t>
            </w:r>
          </w:p>
        </w:tc>
        <w:tc>
          <w:tcPr>
            <w:tcW w:w="1227"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178</w:t>
            </w:r>
            <w:r w:rsidR="00425380">
              <w:rPr>
                <w:rFonts w:ascii="Garamond" w:hAnsi="Garamond" w:cs="Calibri"/>
                <w:color w:val="000000"/>
                <w:lang w:val="en-US"/>
              </w:rPr>
              <w:t>,</w:t>
            </w:r>
            <w:r w:rsidRPr="009622FC">
              <w:rPr>
                <w:rFonts w:ascii="Garamond" w:hAnsi="Garamond" w:cs="Calibri"/>
                <w:color w:val="000000"/>
              </w:rPr>
              <w:t>632</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211</w:t>
            </w:r>
            <w:r w:rsidR="00425380">
              <w:rPr>
                <w:rFonts w:ascii="Garamond" w:hAnsi="Garamond" w:cs="Calibri"/>
                <w:color w:val="000000"/>
                <w:lang w:val="en-US"/>
              </w:rPr>
              <w:t>,</w:t>
            </w:r>
            <w:r w:rsidRPr="009622FC">
              <w:rPr>
                <w:rFonts w:ascii="Garamond" w:hAnsi="Garamond" w:cs="Calibri"/>
                <w:color w:val="000000"/>
              </w:rPr>
              <w:t>380</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196</w:t>
            </w:r>
            <w:r w:rsidR="00425380">
              <w:rPr>
                <w:rFonts w:ascii="Garamond" w:hAnsi="Garamond" w:cs="Calibri"/>
                <w:color w:val="000000"/>
                <w:lang w:val="en-US"/>
              </w:rPr>
              <w:t>,</w:t>
            </w:r>
            <w:r w:rsidRPr="009622FC">
              <w:rPr>
                <w:rFonts w:ascii="Garamond" w:hAnsi="Garamond" w:cs="Calibri"/>
                <w:color w:val="000000"/>
              </w:rPr>
              <w:t>302</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257</w:t>
            </w:r>
            <w:r w:rsidR="00425380">
              <w:rPr>
                <w:rFonts w:ascii="Garamond" w:hAnsi="Garamond" w:cs="Calibri"/>
                <w:color w:val="000000"/>
                <w:lang w:val="en-US"/>
              </w:rPr>
              <w:t>,</w:t>
            </w:r>
            <w:r w:rsidRPr="009622FC">
              <w:rPr>
                <w:rFonts w:ascii="Garamond" w:hAnsi="Garamond" w:cs="Calibri"/>
                <w:color w:val="000000"/>
              </w:rPr>
              <w:t>955</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260</w:t>
            </w:r>
            <w:r w:rsidR="00425380">
              <w:rPr>
                <w:rFonts w:ascii="Garamond" w:hAnsi="Garamond" w:cs="Calibri"/>
                <w:color w:val="000000"/>
                <w:lang w:val="en-US"/>
              </w:rPr>
              <w:t>,</w:t>
            </w:r>
            <w:r w:rsidRPr="009622FC">
              <w:rPr>
                <w:rFonts w:ascii="Garamond" w:hAnsi="Garamond" w:cs="Calibri"/>
                <w:color w:val="000000"/>
              </w:rPr>
              <w:t>588</w:t>
            </w:r>
          </w:p>
        </w:tc>
      </w:tr>
      <w:tr w:rsidR="00B42460" w:rsidRPr="009622FC" w:rsidTr="00425380">
        <w:trPr>
          <w:trHeight w:val="300"/>
          <w:jc w:val="center"/>
        </w:trPr>
        <w:tc>
          <w:tcPr>
            <w:tcW w:w="625" w:type="dxa"/>
            <w:shd w:val="clear" w:color="auto" w:fill="auto"/>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5</w:t>
            </w:r>
          </w:p>
        </w:tc>
        <w:tc>
          <w:tcPr>
            <w:tcW w:w="2070" w:type="dxa"/>
            <w:shd w:val="clear" w:color="auto" w:fill="auto"/>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Bali-Nusra</w:t>
            </w:r>
          </w:p>
        </w:tc>
        <w:tc>
          <w:tcPr>
            <w:tcW w:w="1227" w:type="dxa"/>
            <w:shd w:val="clear" w:color="auto" w:fill="auto"/>
            <w:noWrap/>
          </w:tcPr>
          <w:p w:rsidR="00B42460" w:rsidRPr="009622FC" w:rsidRDefault="00B42460" w:rsidP="00B42460">
            <w:pPr>
              <w:spacing w:after="0"/>
              <w:jc w:val="right"/>
              <w:rPr>
                <w:rFonts w:ascii="Garamond" w:eastAsia="Times New Roman" w:hAnsi="Garamond" w:cs="Calibri"/>
                <w:color w:val="000000"/>
                <w:lang w:eastAsia="id-ID"/>
              </w:rPr>
            </w:pPr>
            <w:r w:rsidRPr="009622FC">
              <w:rPr>
                <w:rFonts w:ascii="Garamond" w:hAnsi="Garamond" w:cs="Calibri"/>
                <w:color w:val="000000"/>
              </w:rPr>
              <w:t>-</w:t>
            </w:r>
          </w:p>
        </w:tc>
        <w:tc>
          <w:tcPr>
            <w:tcW w:w="1116" w:type="dxa"/>
            <w:shd w:val="clear" w:color="auto" w:fill="auto"/>
            <w:noWrap/>
          </w:tcPr>
          <w:p w:rsidR="00B42460" w:rsidRPr="009622FC" w:rsidRDefault="00B42460" w:rsidP="00B42460">
            <w:pPr>
              <w:spacing w:after="0"/>
              <w:jc w:val="right"/>
              <w:rPr>
                <w:rFonts w:ascii="Garamond" w:eastAsia="Times New Roman" w:hAnsi="Garamond" w:cs="Calibri"/>
                <w:color w:val="000000"/>
                <w:lang w:eastAsia="id-ID"/>
              </w:rPr>
            </w:pPr>
            <w:r w:rsidRPr="009622FC">
              <w:rPr>
                <w:rFonts w:ascii="Garamond" w:hAnsi="Garamond" w:cs="Calibri"/>
                <w:color w:val="000000"/>
              </w:rPr>
              <w:t>-</w:t>
            </w:r>
          </w:p>
        </w:tc>
        <w:tc>
          <w:tcPr>
            <w:tcW w:w="1116" w:type="dxa"/>
            <w:shd w:val="clear" w:color="auto" w:fill="auto"/>
            <w:noWrap/>
          </w:tcPr>
          <w:p w:rsidR="00B42460" w:rsidRPr="009622FC" w:rsidRDefault="00B42460" w:rsidP="00B42460">
            <w:pPr>
              <w:spacing w:after="0"/>
              <w:jc w:val="right"/>
              <w:rPr>
                <w:rFonts w:ascii="Garamond" w:eastAsia="Times New Roman" w:hAnsi="Garamond" w:cs="Calibri"/>
                <w:color w:val="000000"/>
                <w:lang w:eastAsia="id-ID"/>
              </w:rPr>
            </w:pPr>
            <w:r w:rsidRPr="009622FC">
              <w:rPr>
                <w:rFonts w:ascii="Garamond" w:hAnsi="Garamond" w:cs="Calibri"/>
                <w:color w:val="000000"/>
              </w:rPr>
              <w:t>-</w:t>
            </w:r>
          </w:p>
        </w:tc>
        <w:tc>
          <w:tcPr>
            <w:tcW w:w="1116" w:type="dxa"/>
            <w:shd w:val="clear" w:color="auto" w:fill="auto"/>
            <w:noWrap/>
          </w:tcPr>
          <w:p w:rsidR="00B42460" w:rsidRPr="009622FC" w:rsidRDefault="00B42460" w:rsidP="00B42460">
            <w:pPr>
              <w:spacing w:after="0"/>
              <w:jc w:val="right"/>
              <w:rPr>
                <w:rFonts w:ascii="Garamond" w:eastAsia="Times New Roman" w:hAnsi="Garamond" w:cs="Calibri"/>
                <w:color w:val="000000"/>
                <w:lang w:eastAsia="id-ID"/>
              </w:rPr>
            </w:pPr>
            <w:r w:rsidRPr="009622FC">
              <w:rPr>
                <w:rFonts w:ascii="Garamond" w:hAnsi="Garamond" w:cs="Calibri"/>
                <w:color w:val="000000"/>
              </w:rPr>
              <w:t>-</w:t>
            </w:r>
          </w:p>
        </w:tc>
        <w:tc>
          <w:tcPr>
            <w:tcW w:w="1116" w:type="dxa"/>
            <w:shd w:val="clear" w:color="auto" w:fill="auto"/>
            <w:noWrap/>
          </w:tcPr>
          <w:p w:rsidR="00B42460" w:rsidRPr="009622FC" w:rsidRDefault="00B42460" w:rsidP="00B42460">
            <w:pPr>
              <w:spacing w:after="0"/>
              <w:jc w:val="right"/>
              <w:rPr>
                <w:rFonts w:ascii="Garamond" w:eastAsia="Times New Roman" w:hAnsi="Garamond" w:cs="Calibri"/>
                <w:color w:val="000000"/>
                <w:lang w:eastAsia="id-ID"/>
              </w:rPr>
            </w:pPr>
            <w:r w:rsidRPr="009622FC">
              <w:rPr>
                <w:rFonts w:ascii="Garamond" w:hAnsi="Garamond" w:cs="Calibri"/>
                <w:color w:val="000000"/>
              </w:rPr>
              <w:t>-</w:t>
            </w:r>
          </w:p>
        </w:tc>
      </w:tr>
      <w:tr w:rsidR="00B42460" w:rsidRPr="009622FC" w:rsidTr="00425380">
        <w:trPr>
          <w:trHeight w:val="300"/>
          <w:jc w:val="center"/>
        </w:trPr>
        <w:tc>
          <w:tcPr>
            <w:tcW w:w="625" w:type="dxa"/>
            <w:shd w:val="clear" w:color="auto" w:fill="FDE9D9"/>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6</w:t>
            </w:r>
          </w:p>
        </w:tc>
        <w:tc>
          <w:tcPr>
            <w:tcW w:w="2070" w:type="dxa"/>
            <w:shd w:val="clear" w:color="auto" w:fill="FDE9D9"/>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Maluku-Papua</w:t>
            </w:r>
          </w:p>
        </w:tc>
        <w:tc>
          <w:tcPr>
            <w:tcW w:w="1227"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58</w:t>
            </w:r>
            <w:r w:rsidR="00425380">
              <w:rPr>
                <w:rFonts w:ascii="Garamond" w:hAnsi="Garamond" w:cs="Calibri"/>
                <w:color w:val="000000"/>
                <w:lang w:val="en-US"/>
              </w:rPr>
              <w:t>,</w:t>
            </w:r>
            <w:r w:rsidRPr="009622FC">
              <w:rPr>
                <w:rFonts w:ascii="Garamond" w:hAnsi="Garamond" w:cs="Calibri"/>
                <w:color w:val="000000"/>
              </w:rPr>
              <w:t>801</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57</w:t>
            </w:r>
            <w:r w:rsidR="00425380">
              <w:rPr>
                <w:rFonts w:ascii="Garamond" w:hAnsi="Garamond" w:cs="Calibri"/>
                <w:color w:val="000000"/>
                <w:lang w:val="en-US"/>
              </w:rPr>
              <w:t>,</w:t>
            </w:r>
            <w:r w:rsidRPr="009622FC">
              <w:rPr>
                <w:rFonts w:ascii="Garamond" w:hAnsi="Garamond" w:cs="Calibri"/>
                <w:color w:val="000000"/>
              </w:rPr>
              <w:t>398</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57</w:t>
            </w:r>
            <w:r w:rsidR="00425380">
              <w:rPr>
                <w:rFonts w:ascii="Garamond" w:hAnsi="Garamond" w:cs="Calibri"/>
                <w:color w:val="000000"/>
                <w:lang w:val="en-US"/>
              </w:rPr>
              <w:t>,</w:t>
            </w:r>
            <w:r w:rsidRPr="009622FC">
              <w:rPr>
                <w:rFonts w:ascii="Garamond" w:hAnsi="Garamond" w:cs="Calibri"/>
                <w:color w:val="000000"/>
              </w:rPr>
              <w:t>462</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59</w:t>
            </w:r>
            <w:r w:rsidR="00425380">
              <w:rPr>
                <w:rFonts w:ascii="Garamond" w:hAnsi="Garamond" w:cs="Calibri"/>
                <w:color w:val="000000"/>
                <w:lang w:val="en-US"/>
              </w:rPr>
              <w:t>,</w:t>
            </w:r>
            <w:r w:rsidRPr="009622FC">
              <w:rPr>
                <w:rFonts w:ascii="Garamond" w:hAnsi="Garamond" w:cs="Calibri"/>
                <w:color w:val="000000"/>
              </w:rPr>
              <w:t>077</w:t>
            </w:r>
          </w:p>
        </w:tc>
        <w:tc>
          <w:tcPr>
            <w:tcW w:w="1116" w:type="dxa"/>
            <w:shd w:val="clear" w:color="auto" w:fill="FDE9D9"/>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59</w:t>
            </w:r>
            <w:r w:rsidR="00425380">
              <w:rPr>
                <w:rFonts w:ascii="Garamond" w:hAnsi="Garamond" w:cs="Calibri"/>
                <w:color w:val="000000"/>
                <w:lang w:val="en-US"/>
              </w:rPr>
              <w:t>,</w:t>
            </w:r>
            <w:r w:rsidRPr="009622FC">
              <w:rPr>
                <w:rFonts w:ascii="Garamond" w:hAnsi="Garamond" w:cs="Calibri"/>
                <w:color w:val="000000"/>
              </w:rPr>
              <w:t>554</w:t>
            </w:r>
          </w:p>
        </w:tc>
      </w:tr>
      <w:tr w:rsidR="00B42460" w:rsidRPr="009622FC" w:rsidTr="00425380">
        <w:trPr>
          <w:trHeight w:val="300"/>
          <w:jc w:val="center"/>
        </w:trPr>
        <w:tc>
          <w:tcPr>
            <w:tcW w:w="625" w:type="dxa"/>
            <w:shd w:val="clear" w:color="auto" w:fill="auto"/>
            <w:noWrap/>
          </w:tcPr>
          <w:p w:rsidR="00B42460" w:rsidRPr="009622FC" w:rsidRDefault="00B42460" w:rsidP="00B42460">
            <w:pPr>
              <w:spacing w:after="0"/>
              <w:jc w:val="center"/>
              <w:rPr>
                <w:rFonts w:ascii="Garamond" w:eastAsia="Times New Roman" w:hAnsi="Garamond" w:cs="Calibri"/>
                <w:b/>
                <w:bCs/>
                <w:color w:val="000000"/>
                <w:lang w:eastAsia="id-ID"/>
              </w:rPr>
            </w:pPr>
            <w:r w:rsidRPr="009622FC">
              <w:rPr>
                <w:rFonts w:ascii="Garamond" w:hAnsi="Garamond" w:cs="Calibri"/>
                <w:b/>
                <w:bCs/>
                <w:color w:val="000000"/>
              </w:rPr>
              <w:t>7</w:t>
            </w:r>
          </w:p>
        </w:tc>
        <w:tc>
          <w:tcPr>
            <w:tcW w:w="2070" w:type="dxa"/>
            <w:shd w:val="clear" w:color="auto" w:fill="auto"/>
            <w:noWrap/>
          </w:tcPr>
          <w:p w:rsidR="00B42460" w:rsidRPr="009622FC" w:rsidRDefault="00B42460" w:rsidP="00B42460">
            <w:pPr>
              <w:spacing w:after="0"/>
              <w:rPr>
                <w:rFonts w:ascii="Garamond" w:eastAsia="Times New Roman" w:hAnsi="Garamond" w:cs="Calibri"/>
                <w:color w:val="000000"/>
                <w:lang w:eastAsia="id-ID"/>
              </w:rPr>
            </w:pPr>
            <w:r w:rsidRPr="009622FC">
              <w:rPr>
                <w:rFonts w:ascii="Garamond" w:hAnsi="Garamond" w:cs="Calibri"/>
                <w:color w:val="000000"/>
              </w:rPr>
              <w:t>Indonesia</w:t>
            </w:r>
          </w:p>
        </w:tc>
        <w:tc>
          <w:tcPr>
            <w:tcW w:w="1227"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7</w:t>
            </w:r>
            <w:r w:rsidR="00425380">
              <w:rPr>
                <w:rFonts w:ascii="Garamond" w:hAnsi="Garamond" w:cs="Calibri"/>
                <w:color w:val="000000"/>
                <w:lang w:val="en-US"/>
              </w:rPr>
              <w:t>,</w:t>
            </w:r>
            <w:r w:rsidRPr="009622FC">
              <w:rPr>
                <w:rFonts w:ascii="Garamond" w:hAnsi="Garamond" w:cs="Calibri"/>
                <w:color w:val="000000"/>
              </w:rPr>
              <w:t>363</w:t>
            </w:r>
            <w:r w:rsidR="00425380">
              <w:rPr>
                <w:rFonts w:ascii="Garamond" w:hAnsi="Garamond" w:cs="Calibri"/>
                <w:color w:val="000000"/>
                <w:lang w:val="en-US"/>
              </w:rPr>
              <w:t>,</w:t>
            </w:r>
            <w:r w:rsidRPr="009622FC">
              <w:rPr>
                <w:rFonts w:ascii="Garamond" w:hAnsi="Garamond" w:cs="Calibri"/>
                <w:color w:val="000000"/>
              </w:rPr>
              <w:t>847</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8</w:t>
            </w:r>
            <w:r w:rsidR="00425380">
              <w:rPr>
                <w:rFonts w:ascii="Garamond" w:hAnsi="Garamond" w:cs="Calibri"/>
                <w:color w:val="000000"/>
                <w:lang w:val="en-US"/>
              </w:rPr>
              <w:t>,</w:t>
            </w:r>
            <w:r w:rsidRPr="009622FC">
              <w:rPr>
                <w:rFonts w:ascii="Garamond" w:hAnsi="Garamond" w:cs="Calibri"/>
                <w:color w:val="000000"/>
              </w:rPr>
              <w:t>248</w:t>
            </w:r>
            <w:r w:rsidR="00425380">
              <w:rPr>
                <w:rFonts w:ascii="Garamond" w:hAnsi="Garamond" w:cs="Calibri"/>
                <w:color w:val="000000"/>
                <w:lang w:val="en-US"/>
              </w:rPr>
              <w:t>,</w:t>
            </w:r>
            <w:r w:rsidRPr="009622FC">
              <w:rPr>
                <w:rFonts w:ascii="Garamond" w:hAnsi="Garamond" w:cs="Calibri"/>
                <w:color w:val="000000"/>
              </w:rPr>
              <w:t>328</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8</w:t>
            </w:r>
            <w:r w:rsidR="00425380">
              <w:rPr>
                <w:rFonts w:ascii="Garamond" w:hAnsi="Garamond" w:cs="Calibri"/>
                <w:color w:val="000000"/>
                <w:lang w:val="en-US"/>
              </w:rPr>
              <w:t>,</w:t>
            </w:r>
            <w:r w:rsidRPr="009622FC">
              <w:rPr>
                <w:rFonts w:ascii="Garamond" w:hAnsi="Garamond" w:cs="Calibri"/>
                <w:color w:val="000000"/>
              </w:rPr>
              <w:t>385</w:t>
            </w:r>
            <w:r w:rsidR="00425380">
              <w:rPr>
                <w:rFonts w:ascii="Garamond" w:hAnsi="Garamond" w:cs="Calibri"/>
                <w:color w:val="000000"/>
                <w:lang w:val="en-US"/>
              </w:rPr>
              <w:t>,</w:t>
            </w:r>
            <w:r w:rsidRPr="009622FC">
              <w:rPr>
                <w:rFonts w:ascii="Garamond" w:hAnsi="Garamond" w:cs="Calibri"/>
                <w:color w:val="000000"/>
              </w:rPr>
              <w:t>394</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8</w:t>
            </w:r>
            <w:r w:rsidR="00425380">
              <w:rPr>
                <w:rFonts w:ascii="Garamond" w:hAnsi="Garamond" w:cs="Calibri"/>
                <w:color w:val="000000"/>
                <w:lang w:val="en-US"/>
              </w:rPr>
              <w:t>,</w:t>
            </w:r>
            <w:r w:rsidRPr="009622FC">
              <w:rPr>
                <w:rFonts w:ascii="Garamond" w:hAnsi="Garamond" w:cs="Calibri"/>
                <w:color w:val="000000"/>
              </w:rPr>
              <w:t>992</w:t>
            </w:r>
            <w:r w:rsidR="00425380">
              <w:rPr>
                <w:rFonts w:ascii="Garamond" w:hAnsi="Garamond" w:cs="Calibri"/>
                <w:color w:val="000000"/>
                <w:lang w:val="en-US"/>
              </w:rPr>
              <w:t>,</w:t>
            </w:r>
            <w:r w:rsidRPr="009622FC">
              <w:rPr>
                <w:rFonts w:ascii="Garamond" w:hAnsi="Garamond" w:cs="Calibri"/>
                <w:color w:val="000000"/>
              </w:rPr>
              <w:t>824</w:t>
            </w:r>
          </w:p>
        </w:tc>
        <w:tc>
          <w:tcPr>
            <w:tcW w:w="1116" w:type="dxa"/>
            <w:shd w:val="clear" w:color="auto" w:fill="auto"/>
            <w:noWrap/>
          </w:tcPr>
          <w:p w:rsidR="00B42460" w:rsidRPr="009622FC" w:rsidRDefault="00B42460" w:rsidP="00425380">
            <w:pPr>
              <w:spacing w:after="0"/>
              <w:jc w:val="right"/>
              <w:rPr>
                <w:rFonts w:ascii="Garamond" w:eastAsia="Times New Roman" w:hAnsi="Garamond" w:cs="Calibri"/>
                <w:color w:val="000000"/>
                <w:lang w:eastAsia="id-ID"/>
              </w:rPr>
            </w:pPr>
            <w:r w:rsidRPr="009622FC">
              <w:rPr>
                <w:rFonts w:ascii="Garamond" w:hAnsi="Garamond" w:cs="Calibri"/>
                <w:color w:val="000000"/>
              </w:rPr>
              <w:t>9</w:t>
            </w:r>
            <w:r w:rsidR="00425380">
              <w:rPr>
                <w:rFonts w:ascii="Garamond" w:hAnsi="Garamond" w:cs="Calibri"/>
                <w:color w:val="000000"/>
                <w:lang w:val="en-US"/>
              </w:rPr>
              <w:t>,</w:t>
            </w:r>
            <w:r w:rsidRPr="009622FC">
              <w:rPr>
                <w:rFonts w:ascii="Garamond" w:hAnsi="Garamond" w:cs="Calibri"/>
                <w:color w:val="000000"/>
              </w:rPr>
              <w:t>074</w:t>
            </w:r>
            <w:r w:rsidR="00425380">
              <w:rPr>
                <w:rFonts w:ascii="Garamond" w:hAnsi="Garamond" w:cs="Calibri"/>
                <w:color w:val="000000"/>
                <w:lang w:val="en-US"/>
              </w:rPr>
              <w:t>,</w:t>
            </w:r>
            <w:r w:rsidRPr="009622FC">
              <w:rPr>
                <w:rFonts w:ascii="Garamond" w:hAnsi="Garamond" w:cs="Calibri"/>
                <w:color w:val="000000"/>
              </w:rPr>
              <w:t>621</w:t>
            </w:r>
          </w:p>
        </w:tc>
      </w:tr>
    </w:tbl>
    <w:p w:rsidR="00B42460" w:rsidRPr="005418E1" w:rsidRDefault="000E0E55" w:rsidP="005418E1">
      <w:pPr>
        <w:autoSpaceDE w:val="0"/>
        <w:autoSpaceDN w:val="0"/>
        <w:adjustRightInd w:val="0"/>
        <w:spacing w:after="0"/>
        <w:ind w:firstLine="360"/>
        <w:rPr>
          <w:rFonts w:ascii="Garamond" w:hAnsi="Garamond" w:cs="AGaramondPro-Regular"/>
          <w:sz w:val="20"/>
          <w:szCs w:val="20"/>
        </w:rPr>
      </w:pPr>
      <w:r w:rsidRPr="005418E1">
        <w:rPr>
          <w:rFonts w:ascii="Garamond" w:hAnsi="Garamond" w:cs="AGaramondPro-Regular"/>
          <w:sz w:val="20"/>
          <w:szCs w:val="20"/>
        </w:rPr>
        <w:t>Source</w:t>
      </w:r>
      <w:r w:rsidR="00B42460" w:rsidRPr="005418E1">
        <w:rPr>
          <w:rFonts w:ascii="Garamond" w:hAnsi="Garamond" w:cs="AGaramondPro-Regular"/>
          <w:sz w:val="20"/>
          <w:szCs w:val="20"/>
        </w:rPr>
        <w:t>: Directorate General of Plantations</w:t>
      </w:r>
      <w:bookmarkStart w:id="2" w:name="_GoBack"/>
      <w:bookmarkEnd w:id="2"/>
    </w:p>
    <w:p w:rsidR="00B42460" w:rsidRPr="009622FC" w:rsidRDefault="00B42460" w:rsidP="00B42460">
      <w:pPr>
        <w:autoSpaceDE w:val="0"/>
        <w:autoSpaceDN w:val="0"/>
        <w:adjustRightInd w:val="0"/>
        <w:spacing w:after="0"/>
        <w:jc w:val="both"/>
        <w:rPr>
          <w:rFonts w:ascii="Garamond" w:hAnsi="Garamond" w:cs="AGaramondPro-Regular"/>
        </w:rPr>
      </w:pPr>
    </w:p>
    <w:p w:rsidR="00B42460" w:rsidRPr="009622FC" w:rsidRDefault="00B42460" w:rsidP="00B42460">
      <w:pPr>
        <w:jc w:val="both"/>
        <w:rPr>
          <w:rFonts w:ascii="Garamond" w:hAnsi="Garamond"/>
        </w:rPr>
      </w:pPr>
      <w:r w:rsidRPr="009622FC">
        <w:rPr>
          <w:rFonts w:ascii="Garamond" w:hAnsi="Garamond" w:cs="AGaramondPro-Regular"/>
        </w:rPr>
        <w:t xml:space="preserve">The increasing area of oil palm plantations has been triggered by the central government’s obsession with being the world’s greatest oil palm exporter. Regional government policies go hand-in-hand with the central government’s plan, as seen in the move by the East Kalimantan provincial government to create a </w:t>
      </w:r>
      <w:r w:rsidRPr="009622FC">
        <w:rPr>
          <w:rFonts w:ascii="Garamond" w:hAnsi="Garamond" w:cs="AGaramondPro-Regular"/>
          <w:b/>
        </w:rPr>
        <w:t>“Program to Develop One Million Hectares of Land for Oil Palm Plantations”</w:t>
      </w:r>
      <w:r w:rsidRPr="009622FC">
        <w:rPr>
          <w:rFonts w:ascii="Garamond" w:hAnsi="Garamond" w:cs="AGaramondPro-Regular"/>
        </w:rPr>
        <w:t>. In carrying out the program, the provincial government of East Kalimantan has been eager to facilitate the licensing process, hence, within a very short time about 186</w:t>
      </w:r>
      <w:r w:rsidRPr="009622FC">
        <w:rPr>
          <w:rStyle w:val="FootnoteReference"/>
          <w:rFonts w:ascii="Garamond" w:hAnsi="Garamond" w:cs="AGaramondPro-Regular"/>
        </w:rPr>
        <w:footnoteReference w:id="24"/>
      </w:r>
      <w:r w:rsidRPr="009622FC">
        <w:rPr>
          <w:rFonts w:ascii="Garamond" w:hAnsi="Garamond" w:cs="AGaramondPro-Regular"/>
        </w:rPr>
        <w:t xml:space="preserve"> oil palm plantation business permits were issued covering 2.6 million Ha, or three times more than the area previously planned, which was 800,000 Ha. In many cases, once a permit has been issued, companies use oil palm plantation development as a pretext for logging via land clearing. After the permits have been obtained and all the timber has been taken, investment in the oil palm plantation sector may or may not actua</w:t>
      </w:r>
      <w:r w:rsidR="003E6557">
        <w:rPr>
          <w:rFonts w:ascii="Garamond" w:hAnsi="Garamond" w:cs="AGaramondPro-Regular"/>
        </w:rPr>
        <w:t>lly be reali</w:t>
      </w:r>
      <w:r w:rsidR="003E6557">
        <w:rPr>
          <w:rFonts w:ascii="Garamond" w:hAnsi="Garamond" w:cs="AGaramondPro-Regular"/>
          <w:lang w:val="en-US"/>
        </w:rPr>
        <w:t>s</w:t>
      </w:r>
      <w:r w:rsidRPr="009622FC">
        <w:rPr>
          <w:rFonts w:ascii="Garamond" w:hAnsi="Garamond" w:cs="AGaramondPro-Regular"/>
        </w:rPr>
        <w:t xml:space="preserve">ed. In reality, the area </w:t>
      </w:r>
      <w:r w:rsidRPr="009622FC">
        <w:rPr>
          <w:rFonts w:ascii="Garamond" w:hAnsi="Garamond"/>
        </w:rPr>
        <w:t>of oil palm plantation areas on which palms were actually planted in 2012 was only 827,347</w:t>
      </w:r>
      <w:r w:rsidRPr="009622FC">
        <w:rPr>
          <w:rStyle w:val="FootnoteReference"/>
          <w:rFonts w:ascii="Garamond" w:hAnsi="Garamond"/>
        </w:rPr>
        <w:footnoteReference w:id="25"/>
      </w:r>
      <w:r w:rsidRPr="009622FC">
        <w:rPr>
          <w:rFonts w:ascii="Garamond" w:hAnsi="Garamond"/>
        </w:rPr>
        <w:t xml:space="preserve"> Ha, and in 2012 the</w:t>
      </w:r>
      <w:r w:rsidR="00A67C24" w:rsidRPr="009622FC">
        <w:rPr>
          <w:rFonts w:ascii="Garamond" w:hAnsi="Garamond"/>
        </w:rPr>
        <w:t xml:space="preserve"> area of oil palm plantations</w:t>
      </w:r>
      <w:r w:rsidRPr="009622FC">
        <w:rPr>
          <w:rFonts w:ascii="Garamond" w:hAnsi="Garamond"/>
        </w:rPr>
        <w:t xml:space="preserve"> was only 961,802</w:t>
      </w:r>
      <w:r w:rsidRPr="009622FC">
        <w:rPr>
          <w:rStyle w:val="FootnoteReference"/>
          <w:rFonts w:ascii="Garamond" w:hAnsi="Garamond"/>
        </w:rPr>
        <w:footnoteReference w:id="26"/>
      </w:r>
      <w:r w:rsidRPr="009622FC">
        <w:rPr>
          <w:rFonts w:ascii="Garamond" w:hAnsi="Garamond"/>
        </w:rPr>
        <w:t xml:space="preserve"> Ha.  </w:t>
      </w:r>
    </w:p>
    <w:p w:rsidR="00B42460" w:rsidRDefault="00A67C24" w:rsidP="00B42460">
      <w:pPr>
        <w:spacing w:after="0"/>
        <w:jc w:val="center"/>
        <w:rPr>
          <w:rFonts w:ascii="Garamond" w:hAnsi="Garamond" w:cs="AGaramondPro-Regular"/>
          <w:b/>
          <w:lang w:val="en-US"/>
        </w:rPr>
      </w:pPr>
      <w:r w:rsidRPr="009622FC">
        <w:rPr>
          <w:rFonts w:ascii="Garamond" w:hAnsi="Garamond" w:cs="AGaramondPro-Regular"/>
          <w:b/>
        </w:rPr>
        <w:t xml:space="preserve">Table 2.6 </w:t>
      </w:r>
      <w:r w:rsidR="00B42460" w:rsidRPr="009622FC">
        <w:rPr>
          <w:rFonts w:ascii="Garamond" w:hAnsi="Garamond" w:cs="AGaramondPro-Regular"/>
          <w:b/>
        </w:rPr>
        <w:t>Area of Oil Palm Plantations</w:t>
      </w:r>
      <w:r w:rsidR="00B42460" w:rsidRPr="009622FC">
        <w:rPr>
          <w:rStyle w:val="FootnoteReference"/>
          <w:rFonts w:ascii="Garamond" w:hAnsi="Garamond" w:cs="AGaramondPro-Regular"/>
          <w:b/>
        </w:rPr>
        <w:footnoteReference w:id="27"/>
      </w:r>
    </w:p>
    <w:p w:rsidR="005418E1" w:rsidRPr="005418E1" w:rsidRDefault="005418E1" w:rsidP="00B42460">
      <w:pPr>
        <w:spacing w:after="0"/>
        <w:jc w:val="center"/>
        <w:rPr>
          <w:rFonts w:ascii="Garamond" w:hAnsi="Garamond" w:cs="AGaramondPro-Regular"/>
          <w:b/>
          <w:lang w:val="en-US"/>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0"/>
        <w:gridCol w:w="1005"/>
        <w:gridCol w:w="1002"/>
        <w:gridCol w:w="993"/>
        <w:gridCol w:w="934"/>
        <w:gridCol w:w="992"/>
        <w:gridCol w:w="992"/>
        <w:gridCol w:w="937"/>
        <w:gridCol w:w="1048"/>
        <w:gridCol w:w="1027"/>
      </w:tblGrid>
      <w:tr w:rsidR="00B42460" w:rsidRPr="009622FC">
        <w:trPr>
          <w:jc w:val="center"/>
        </w:trPr>
        <w:tc>
          <w:tcPr>
            <w:tcW w:w="1181" w:type="dxa"/>
            <w:vMerge w:val="restart"/>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Type of Plantation</w:t>
            </w:r>
          </w:p>
        </w:tc>
        <w:tc>
          <w:tcPr>
            <w:tcW w:w="8931" w:type="dxa"/>
            <w:gridSpan w:val="9"/>
            <w:tcBorders>
              <w:top w:val="single" w:sz="4" w:space="0" w:color="000000"/>
              <w:left w:val="single" w:sz="4" w:space="0" w:color="000000"/>
              <w:bottom w:val="single" w:sz="4" w:space="0" w:color="000000"/>
              <w:right w:val="single" w:sz="4" w:space="0" w:color="000000"/>
            </w:tcBorders>
            <w:shd w:val="clear" w:color="auto" w:fill="9BBB59"/>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Plantation Area (Ha)</w:t>
            </w:r>
          </w:p>
        </w:tc>
      </w:tr>
      <w:tr w:rsidR="00B42460" w:rsidRPr="009622FC">
        <w:trPr>
          <w:jc w:val="center"/>
        </w:trPr>
        <w:tc>
          <w:tcPr>
            <w:tcW w:w="11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rPr>
                <w:rFonts w:ascii="Garamond" w:hAnsi="Garamond" w:cs="AGaramondPro-Regular"/>
                <w:b/>
                <w:sz w:val="16"/>
              </w:rPr>
            </w:pP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South Sumatra</w:t>
            </w:r>
          </w:p>
        </w:tc>
        <w:tc>
          <w:tcPr>
            <w:tcW w:w="2918"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East Kalimantan</w:t>
            </w:r>
          </w:p>
        </w:tc>
        <w:tc>
          <w:tcPr>
            <w:tcW w:w="3012"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West Kalimantan</w:t>
            </w:r>
          </w:p>
        </w:tc>
      </w:tr>
      <w:tr w:rsidR="00B42460" w:rsidRPr="009622FC">
        <w:trPr>
          <w:jc w:val="center"/>
        </w:trPr>
        <w:tc>
          <w:tcPr>
            <w:tcW w:w="11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rPr>
                <w:rFonts w:ascii="Garamond" w:hAnsi="Garamond" w:cs="AGaramondPro-Regular"/>
                <w:b/>
                <w:sz w:val="16"/>
              </w:rPr>
            </w:pPr>
          </w:p>
        </w:tc>
        <w:tc>
          <w:tcPr>
            <w:tcW w:w="1006"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2009</w:t>
            </w:r>
          </w:p>
        </w:tc>
        <w:tc>
          <w:tcPr>
            <w:tcW w:w="100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2010</w:t>
            </w:r>
          </w:p>
        </w:tc>
        <w:tc>
          <w:tcPr>
            <w:tcW w:w="993"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2011</w:t>
            </w:r>
          </w:p>
        </w:tc>
        <w:tc>
          <w:tcPr>
            <w:tcW w:w="934"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2009</w:t>
            </w:r>
          </w:p>
        </w:tc>
        <w:tc>
          <w:tcPr>
            <w:tcW w:w="99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2010</w:t>
            </w:r>
          </w:p>
        </w:tc>
        <w:tc>
          <w:tcPr>
            <w:tcW w:w="992"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2011</w:t>
            </w:r>
          </w:p>
        </w:tc>
        <w:tc>
          <w:tcPr>
            <w:tcW w:w="937"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2009</w:t>
            </w:r>
          </w:p>
        </w:tc>
        <w:tc>
          <w:tcPr>
            <w:tcW w:w="1048"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2010</w:t>
            </w:r>
          </w:p>
        </w:tc>
        <w:tc>
          <w:tcPr>
            <w:tcW w:w="1027"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2011</w:t>
            </w:r>
          </w:p>
        </w:tc>
      </w:tr>
      <w:tr w:rsidR="00B42460" w:rsidRPr="009622FC">
        <w:trPr>
          <w:jc w:val="center"/>
        </w:trPr>
        <w:tc>
          <w:tcPr>
            <w:tcW w:w="118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Major Plantation</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690,990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696,503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733,902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Cs/>
                <w:color w:val="000000"/>
                <w:sz w:val="16"/>
              </w:rPr>
            </w:pPr>
            <w:r w:rsidRPr="009622FC">
              <w:rPr>
                <w:rFonts w:ascii="Garamond" w:hAnsi="Garamond" w:cs="Calibri"/>
                <w:bCs/>
                <w:color w:val="000000"/>
                <w:sz w:val="16"/>
              </w:rPr>
              <w:t>401,275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Cs/>
                <w:color w:val="000000"/>
                <w:sz w:val="16"/>
              </w:rPr>
            </w:pPr>
            <w:r w:rsidRPr="009622FC">
              <w:rPr>
                <w:rFonts w:ascii="Garamond" w:hAnsi="Garamond" w:cs="Calibri"/>
                <w:bCs/>
                <w:color w:val="000000"/>
                <w:sz w:val="16"/>
              </w:rPr>
              <w:t>536,777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Cs/>
                <w:color w:val="000000"/>
                <w:sz w:val="16"/>
              </w:rPr>
            </w:pPr>
            <w:r w:rsidRPr="009622FC">
              <w:rPr>
                <w:rFonts w:ascii="Garamond" w:hAnsi="Garamond" w:cs="Calibri"/>
                <w:bCs/>
                <w:color w:val="000000"/>
                <w:sz w:val="16"/>
              </w:rPr>
              <w:t>669,112</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389,334</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522,508</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625,532</w:t>
            </w:r>
          </w:p>
        </w:tc>
      </w:tr>
      <w:tr w:rsidR="00B42460" w:rsidRPr="009622FC">
        <w:trPr>
          <w:jc w:val="center"/>
        </w:trPr>
        <w:tc>
          <w:tcPr>
            <w:tcW w:w="118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People's Plantation</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92,189</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127,313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132,860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129,279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122,756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158,235</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221,858</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228,440</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color w:val="000000"/>
                <w:sz w:val="16"/>
              </w:rPr>
            </w:pPr>
            <w:r w:rsidRPr="009622FC">
              <w:rPr>
                <w:rFonts w:ascii="Garamond" w:hAnsi="Garamond" w:cs="Calibri"/>
                <w:color w:val="000000"/>
                <w:sz w:val="16"/>
              </w:rPr>
              <w:t>255,235</w:t>
            </w:r>
          </w:p>
        </w:tc>
      </w:tr>
      <w:tr w:rsidR="00B42460" w:rsidRPr="009622FC">
        <w:trPr>
          <w:jc w:val="center"/>
        </w:trPr>
        <w:tc>
          <w:tcPr>
            <w:tcW w:w="118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Total</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783,179</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823,816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866,762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AGaramondPro-Regular"/>
                <w:b/>
                <w:sz w:val="16"/>
              </w:rPr>
            </w:pPr>
            <w:r w:rsidRPr="009622FC">
              <w:rPr>
                <w:rFonts w:ascii="Garamond" w:hAnsi="Garamond" w:cs="AGaramondPro-Regular"/>
                <w:b/>
                <w:sz w:val="16"/>
              </w:rPr>
              <w:t>530,554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659,533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827,347</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611,192</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750,948</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cs="Calibri"/>
                <w:b/>
                <w:color w:val="000000"/>
                <w:sz w:val="16"/>
              </w:rPr>
            </w:pPr>
            <w:r w:rsidRPr="009622FC">
              <w:rPr>
                <w:rFonts w:ascii="Garamond" w:hAnsi="Garamond" w:cs="Calibri"/>
                <w:b/>
                <w:color w:val="000000"/>
                <w:sz w:val="16"/>
              </w:rPr>
              <w:t>880,767</w:t>
            </w:r>
          </w:p>
        </w:tc>
      </w:tr>
    </w:tbl>
    <w:p w:rsidR="00B42460" w:rsidRPr="005418E1" w:rsidRDefault="000E0E55" w:rsidP="005418E1">
      <w:pPr>
        <w:ind w:hanging="540"/>
        <w:rPr>
          <w:rFonts w:ascii="Garamond" w:hAnsi="Garamond" w:cs="AGaramondPro-Regular"/>
          <w:sz w:val="20"/>
          <w:szCs w:val="20"/>
        </w:rPr>
      </w:pPr>
      <w:r w:rsidRPr="005418E1">
        <w:rPr>
          <w:rFonts w:ascii="Garamond" w:hAnsi="Garamond" w:cs="AGaramondPro-Regular"/>
          <w:sz w:val="20"/>
          <w:szCs w:val="20"/>
        </w:rPr>
        <w:t>Source</w:t>
      </w:r>
      <w:r w:rsidR="00B42460" w:rsidRPr="005418E1">
        <w:rPr>
          <w:rFonts w:ascii="Garamond" w:hAnsi="Garamond" w:cs="AGaramondPro-Regular"/>
          <w:sz w:val="20"/>
          <w:szCs w:val="20"/>
        </w:rPr>
        <w:t>: Regions in Figures, 2012, by province</w:t>
      </w:r>
    </w:p>
    <w:p w:rsidR="00EE6790" w:rsidRDefault="00B42460" w:rsidP="00B42460">
      <w:pPr>
        <w:spacing w:after="0"/>
        <w:jc w:val="both"/>
        <w:rPr>
          <w:rFonts w:ascii="Garamond" w:hAnsi="Garamond"/>
          <w:lang w:val="en-US"/>
        </w:rPr>
      </w:pPr>
      <w:r w:rsidRPr="009622FC">
        <w:rPr>
          <w:rFonts w:ascii="Garamond" w:hAnsi="Garamond"/>
        </w:rPr>
        <w:lastRenderedPageBreak/>
        <w:t>Meanwhile, in West Kalimantan, the provincial government had allocated 3.5 million Ha before 2025, from which 45 percent was allocated for oil palm plantations, amounting to 1.5 million Ha. In addition to oil palm, rubber plantations also serve as a main support for West Kalimantan, where around 1.2 million Ha of land has been set aside for rubber plantations through 2025.</w:t>
      </w:r>
    </w:p>
    <w:p w:rsidR="00B42460" w:rsidRPr="009622FC" w:rsidRDefault="00B42460" w:rsidP="00B42460">
      <w:pPr>
        <w:spacing w:after="0"/>
        <w:jc w:val="both"/>
        <w:rPr>
          <w:rFonts w:ascii="Garamond" w:hAnsi="Garamond" w:cs="Calibri"/>
          <w:lang w:val="en-US"/>
        </w:rPr>
      </w:pPr>
      <w:r w:rsidRPr="009622FC">
        <w:rPr>
          <w:rFonts w:ascii="Garamond" w:hAnsi="Garamond"/>
        </w:rPr>
        <w:t xml:space="preserve"> </w:t>
      </w:r>
    </w:p>
    <w:p w:rsidR="00B42460" w:rsidRDefault="00B42460" w:rsidP="00B42460">
      <w:pPr>
        <w:spacing w:after="0"/>
        <w:jc w:val="center"/>
        <w:rPr>
          <w:rFonts w:ascii="Garamond" w:hAnsi="Garamond"/>
          <w:b/>
          <w:lang w:val="en-US"/>
        </w:rPr>
      </w:pPr>
      <w:r w:rsidRPr="009622FC">
        <w:rPr>
          <w:rFonts w:ascii="Garamond" w:hAnsi="Garamond"/>
          <w:b/>
        </w:rPr>
        <w:t>Table 2.7 Plantation Development Plan for West Kalimantan</w:t>
      </w:r>
      <w:r w:rsidRPr="009622FC">
        <w:rPr>
          <w:rStyle w:val="FootnoteReference"/>
          <w:rFonts w:ascii="Garamond" w:hAnsi="Garamond" w:cs="Calibri"/>
          <w:b/>
        </w:rPr>
        <w:footnoteReference w:id="28"/>
      </w:r>
    </w:p>
    <w:p w:rsidR="005418E1" w:rsidRPr="005418E1" w:rsidRDefault="005418E1" w:rsidP="00B42460">
      <w:pPr>
        <w:spacing w:after="0"/>
        <w:jc w:val="center"/>
        <w:rPr>
          <w:rFonts w:ascii="Garamond" w:hAnsi="Garamond" w:cs="Calibri"/>
          <w:b/>
          <w:lang w:val="en-US"/>
        </w:rPr>
      </w:pPr>
    </w:p>
    <w:tbl>
      <w:tblPr>
        <w:tblW w:w="6020" w:type="dxa"/>
        <w:jc w:val="center"/>
        <w:tblLook w:val="04A0"/>
      </w:tblPr>
      <w:tblGrid>
        <w:gridCol w:w="524"/>
        <w:gridCol w:w="3122"/>
        <w:gridCol w:w="2374"/>
      </w:tblGrid>
      <w:tr w:rsidR="00B42460" w:rsidRPr="009622FC">
        <w:trPr>
          <w:trHeight w:val="399"/>
          <w:jc w:val="center"/>
        </w:trPr>
        <w:tc>
          <w:tcPr>
            <w:tcW w:w="524" w:type="dxa"/>
            <w:shd w:val="clear" w:color="auto" w:fill="1F497D"/>
            <w:vAlign w:val="center"/>
          </w:tcPr>
          <w:p w:rsidR="00B42460" w:rsidRPr="009622FC" w:rsidRDefault="00B42460" w:rsidP="00B42460">
            <w:pPr>
              <w:spacing w:after="0" w:line="240" w:lineRule="auto"/>
              <w:jc w:val="center"/>
              <w:rPr>
                <w:rFonts w:ascii="Garamond" w:eastAsia="Times New Roman" w:hAnsi="Garamond" w:cs="Calibri"/>
                <w:b/>
                <w:bCs/>
                <w:color w:val="FFFFFF"/>
                <w:sz w:val="16"/>
                <w:szCs w:val="16"/>
                <w:lang w:eastAsia="id-ID"/>
              </w:rPr>
            </w:pPr>
            <w:r w:rsidRPr="009622FC">
              <w:rPr>
                <w:rFonts w:ascii="Garamond" w:hAnsi="Garamond" w:cs="Calibri"/>
                <w:b/>
                <w:bCs/>
                <w:color w:val="FFFFFF"/>
                <w:sz w:val="16"/>
                <w:szCs w:val="16"/>
              </w:rPr>
              <w:t>No</w:t>
            </w:r>
          </w:p>
        </w:tc>
        <w:tc>
          <w:tcPr>
            <w:tcW w:w="3122" w:type="dxa"/>
            <w:shd w:val="clear" w:color="auto" w:fill="1F497D"/>
            <w:vAlign w:val="center"/>
          </w:tcPr>
          <w:p w:rsidR="00B42460" w:rsidRPr="009622FC" w:rsidRDefault="00B42460" w:rsidP="00B42460">
            <w:pPr>
              <w:spacing w:after="0" w:line="240" w:lineRule="auto"/>
              <w:jc w:val="center"/>
              <w:rPr>
                <w:rFonts w:ascii="Garamond" w:eastAsia="Times New Roman" w:hAnsi="Garamond" w:cs="Calibri"/>
                <w:b/>
                <w:bCs/>
                <w:color w:val="FFFFFF"/>
                <w:sz w:val="16"/>
                <w:szCs w:val="16"/>
                <w:lang w:eastAsia="id-ID"/>
              </w:rPr>
            </w:pPr>
            <w:r w:rsidRPr="009622FC">
              <w:rPr>
                <w:rFonts w:ascii="Garamond" w:hAnsi="Garamond" w:cs="Calibri"/>
                <w:b/>
                <w:bCs/>
                <w:color w:val="FFFFFF"/>
                <w:sz w:val="16"/>
                <w:szCs w:val="16"/>
              </w:rPr>
              <w:t>Type of Commodity</w:t>
            </w:r>
          </w:p>
        </w:tc>
        <w:tc>
          <w:tcPr>
            <w:tcW w:w="2374" w:type="dxa"/>
            <w:shd w:val="clear" w:color="auto" w:fill="1F497D"/>
            <w:vAlign w:val="center"/>
          </w:tcPr>
          <w:p w:rsidR="00B42460" w:rsidRPr="009622FC" w:rsidRDefault="00B42460" w:rsidP="00B42460">
            <w:pPr>
              <w:spacing w:after="0" w:line="240" w:lineRule="auto"/>
              <w:jc w:val="center"/>
              <w:rPr>
                <w:rFonts w:ascii="Garamond" w:eastAsia="Times New Roman" w:hAnsi="Garamond" w:cs="Calibri"/>
                <w:b/>
                <w:bCs/>
                <w:color w:val="FFFFFF"/>
                <w:sz w:val="16"/>
                <w:szCs w:val="16"/>
                <w:lang w:eastAsia="id-ID"/>
              </w:rPr>
            </w:pPr>
            <w:r w:rsidRPr="009622FC">
              <w:rPr>
                <w:rFonts w:ascii="Garamond" w:hAnsi="Garamond" w:cs="Calibri"/>
                <w:b/>
                <w:bCs/>
                <w:color w:val="FFFFFF"/>
                <w:sz w:val="16"/>
                <w:szCs w:val="16"/>
              </w:rPr>
              <w:t>Allocated Area through 2025 (Ha)</w:t>
            </w:r>
          </w:p>
        </w:tc>
      </w:tr>
      <w:tr w:rsidR="00B42460" w:rsidRPr="009622FC">
        <w:trPr>
          <w:trHeight w:val="219"/>
          <w:jc w:val="center"/>
        </w:trPr>
        <w:tc>
          <w:tcPr>
            <w:tcW w:w="524" w:type="dxa"/>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1</w:t>
            </w:r>
          </w:p>
        </w:tc>
        <w:tc>
          <w:tcPr>
            <w:tcW w:w="3122" w:type="dxa"/>
            <w:noWrap/>
            <w:vAlign w:val="bottom"/>
          </w:tcPr>
          <w:p w:rsidR="00B42460" w:rsidRPr="009622FC" w:rsidRDefault="00B42460" w:rsidP="00B42460">
            <w:pPr>
              <w:spacing w:after="0" w:line="240" w:lineRule="auto"/>
              <w:rPr>
                <w:rFonts w:ascii="Garamond" w:eastAsia="Times New Roman" w:hAnsi="Garamond" w:cs="Calibri"/>
                <w:color w:val="000000"/>
                <w:sz w:val="16"/>
                <w:szCs w:val="16"/>
                <w:lang w:eastAsia="id-ID"/>
              </w:rPr>
            </w:pPr>
            <w:r w:rsidRPr="009622FC">
              <w:rPr>
                <w:rFonts w:ascii="Garamond" w:hAnsi="Garamond" w:cs="Calibri"/>
                <w:color w:val="000000"/>
                <w:sz w:val="16"/>
                <w:szCs w:val="16"/>
              </w:rPr>
              <w:t>Rubber</w:t>
            </w:r>
          </w:p>
        </w:tc>
        <w:tc>
          <w:tcPr>
            <w:tcW w:w="2374" w:type="dxa"/>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 xml:space="preserve">                                     1,200,000 </w:t>
            </w:r>
          </w:p>
        </w:tc>
      </w:tr>
      <w:tr w:rsidR="00B42460" w:rsidRPr="009622FC">
        <w:trPr>
          <w:trHeight w:val="219"/>
          <w:jc w:val="center"/>
        </w:trPr>
        <w:tc>
          <w:tcPr>
            <w:tcW w:w="524" w:type="dxa"/>
            <w:shd w:val="clear" w:color="auto" w:fill="EEECE1"/>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2</w:t>
            </w:r>
          </w:p>
        </w:tc>
        <w:tc>
          <w:tcPr>
            <w:tcW w:w="3122" w:type="dxa"/>
            <w:shd w:val="clear" w:color="auto" w:fill="EEECE1"/>
            <w:noWrap/>
            <w:vAlign w:val="bottom"/>
          </w:tcPr>
          <w:p w:rsidR="00B42460" w:rsidRPr="009622FC" w:rsidRDefault="00B42460" w:rsidP="00B42460">
            <w:pPr>
              <w:spacing w:after="0" w:line="240" w:lineRule="auto"/>
              <w:rPr>
                <w:rFonts w:ascii="Garamond" w:eastAsia="Times New Roman" w:hAnsi="Garamond" w:cs="Calibri"/>
                <w:color w:val="000000"/>
                <w:sz w:val="16"/>
                <w:szCs w:val="16"/>
                <w:lang w:eastAsia="id-ID"/>
              </w:rPr>
            </w:pPr>
            <w:r w:rsidRPr="009622FC">
              <w:rPr>
                <w:rFonts w:ascii="Garamond" w:hAnsi="Garamond" w:cs="Calibri"/>
                <w:color w:val="000000"/>
                <w:sz w:val="16"/>
                <w:szCs w:val="16"/>
              </w:rPr>
              <w:t>Palm</w:t>
            </w:r>
          </w:p>
        </w:tc>
        <w:tc>
          <w:tcPr>
            <w:tcW w:w="2374" w:type="dxa"/>
            <w:shd w:val="clear" w:color="auto" w:fill="EEECE1"/>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 xml:space="preserve">                                        300,000 </w:t>
            </w:r>
          </w:p>
        </w:tc>
      </w:tr>
      <w:tr w:rsidR="00B42460" w:rsidRPr="009622FC">
        <w:trPr>
          <w:trHeight w:val="219"/>
          <w:jc w:val="center"/>
        </w:trPr>
        <w:tc>
          <w:tcPr>
            <w:tcW w:w="524" w:type="dxa"/>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3</w:t>
            </w:r>
          </w:p>
        </w:tc>
        <w:tc>
          <w:tcPr>
            <w:tcW w:w="3122" w:type="dxa"/>
            <w:noWrap/>
            <w:vAlign w:val="bottom"/>
          </w:tcPr>
          <w:p w:rsidR="00B42460" w:rsidRPr="009622FC" w:rsidRDefault="00B42460" w:rsidP="00B42460">
            <w:pPr>
              <w:spacing w:after="0" w:line="240" w:lineRule="auto"/>
              <w:rPr>
                <w:rFonts w:ascii="Garamond" w:eastAsia="Times New Roman" w:hAnsi="Garamond" w:cs="Calibri"/>
                <w:color w:val="000000"/>
                <w:sz w:val="16"/>
                <w:szCs w:val="16"/>
                <w:lang w:eastAsia="id-ID"/>
              </w:rPr>
            </w:pPr>
            <w:r w:rsidRPr="009622FC">
              <w:rPr>
                <w:rFonts w:ascii="Garamond" w:hAnsi="Garamond" w:cs="Calibri"/>
                <w:color w:val="000000"/>
                <w:sz w:val="16"/>
                <w:szCs w:val="16"/>
              </w:rPr>
              <w:t>Oil Palm</w:t>
            </w:r>
          </w:p>
        </w:tc>
        <w:tc>
          <w:tcPr>
            <w:tcW w:w="2374" w:type="dxa"/>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 xml:space="preserve">                                     1,500,000 </w:t>
            </w:r>
          </w:p>
        </w:tc>
      </w:tr>
      <w:tr w:rsidR="00B42460" w:rsidRPr="009622FC">
        <w:trPr>
          <w:trHeight w:val="219"/>
          <w:jc w:val="center"/>
        </w:trPr>
        <w:tc>
          <w:tcPr>
            <w:tcW w:w="524" w:type="dxa"/>
            <w:shd w:val="clear" w:color="auto" w:fill="EEECE1"/>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4</w:t>
            </w:r>
          </w:p>
        </w:tc>
        <w:tc>
          <w:tcPr>
            <w:tcW w:w="3122" w:type="dxa"/>
            <w:shd w:val="clear" w:color="auto" w:fill="EEECE1"/>
            <w:noWrap/>
            <w:vAlign w:val="bottom"/>
          </w:tcPr>
          <w:p w:rsidR="00B42460" w:rsidRPr="009622FC" w:rsidRDefault="00B42460" w:rsidP="00B42460">
            <w:pPr>
              <w:spacing w:after="0" w:line="240" w:lineRule="auto"/>
              <w:rPr>
                <w:rFonts w:ascii="Garamond" w:eastAsia="Times New Roman" w:hAnsi="Garamond" w:cs="Calibri"/>
                <w:color w:val="000000"/>
                <w:sz w:val="16"/>
                <w:szCs w:val="16"/>
                <w:lang w:eastAsia="id-ID"/>
              </w:rPr>
            </w:pPr>
            <w:r w:rsidRPr="009622FC">
              <w:rPr>
                <w:rFonts w:ascii="Garamond" w:hAnsi="Garamond" w:cs="Calibri"/>
                <w:color w:val="000000"/>
                <w:sz w:val="16"/>
                <w:szCs w:val="16"/>
              </w:rPr>
              <w:t>Cocoa</w:t>
            </w:r>
          </w:p>
        </w:tc>
        <w:tc>
          <w:tcPr>
            <w:tcW w:w="2374" w:type="dxa"/>
            <w:shd w:val="clear" w:color="auto" w:fill="EEECE1"/>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 xml:space="preserve">                                          50,000 </w:t>
            </w:r>
          </w:p>
        </w:tc>
      </w:tr>
      <w:tr w:rsidR="00B42460" w:rsidRPr="009622FC">
        <w:trPr>
          <w:trHeight w:val="219"/>
          <w:jc w:val="center"/>
        </w:trPr>
        <w:tc>
          <w:tcPr>
            <w:tcW w:w="524" w:type="dxa"/>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5</w:t>
            </w:r>
          </w:p>
        </w:tc>
        <w:tc>
          <w:tcPr>
            <w:tcW w:w="3122" w:type="dxa"/>
            <w:noWrap/>
            <w:vAlign w:val="bottom"/>
          </w:tcPr>
          <w:p w:rsidR="00B42460" w:rsidRPr="009622FC" w:rsidRDefault="00B42460" w:rsidP="00B42460">
            <w:pPr>
              <w:spacing w:after="0" w:line="240" w:lineRule="auto"/>
              <w:rPr>
                <w:rFonts w:ascii="Garamond" w:eastAsia="Times New Roman" w:hAnsi="Garamond" w:cs="Calibri"/>
                <w:color w:val="000000"/>
                <w:sz w:val="16"/>
                <w:szCs w:val="16"/>
                <w:lang w:eastAsia="id-ID"/>
              </w:rPr>
            </w:pPr>
            <w:r w:rsidRPr="009622FC">
              <w:rPr>
                <w:rFonts w:ascii="Garamond" w:hAnsi="Garamond" w:cs="Calibri"/>
                <w:color w:val="000000"/>
                <w:sz w:val="16"/>
                <w:szCs w:val="16"/>
              </w:rPr>
              <w:t>Pepper</w:t>
            </w:r>
          </w:p>
        </w:tc>
        <w:tc>
          <w:tcPr>
            <w:tcW w:w="2374" w:type="dxa"/>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 xml:space="preserve">                                          50,000 </w:t>
            </w:r>
          </w:p>
        </w:tc>
      </w:tr>
      <w:tr w:rsidR="00B42460" w:rsidRPr="009622FC">
        <w:trPr>
          <w:trHeight w:val="219"/>
          <w:jc w:val="center"/>
        </w:trPr>
        <w:tc>
          <w:tcPr>
            <w:tcW w:w="524" w:type="dxa"/>
            <w:tcBorders>
              <w:top w:val="nil"/>
              <w:left w:val="nil"/>
              <w:bottom w:val="single" w:sz="4" w:space="0" w:color="auto"/>
              <w:right w:val="nil"/>
            </w:tcBorders>
            <w:shd w:val="clear" w:color="auto" w:fill="EEECE1"/>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6</w:t>
            </w:r>
          </w:p>
        </w:tc>
        <w:tc>
          <w:tcPr>
            <w:tcW w:w="3122" w:type="dxa"/>
            <w:tcBorders>
              <w:top w:val="nil"/>
              <w:left w:val="nil"/>
              <w:bottom w:val="single" w:sz="4" w:space="0" w:color="auto"/>
              <w:right w:val="nil"/>
            </w:tcBorders>
            <w:shd w:val="clear" w:color="auto" w:fill="EEECE1"/>
            <w:noWrap/>
            <w:vAlign w:val="bottom"/>
          </w:tcPr>
          <w:p w:rsidR="00B42460" w:rsidRPr="009622FC" w:rsidRDefault="00B42460" w:rsidP="00B42460">
            <w:pPr>
              <w:spacing w:after="0" w:line="240" w:lineRule="auto"/>
              <w:rPr>
                <w:rFonts w:ascii="Garamond" w:eastAsia="Times New Roman" w:hAnsi="Garamond" w:cs="Calibri"/>
                <w:color w:val="000000"/>
                <w:sz w:val="16"/>
                <w:szCs w:val="16"/>
                <w:lang w:eastAsia="id-ID"/>
              </w:rPr>
            </w:pPr>
            <w:r w:rsidRPr="009622FC">
              <w:rPr>
                <w:rFonts w:ascii="Garamond" w:hAnsi="Garamond" w:cs="Calibri"/>
                <w:color w:val="000000"/>
                <w:sz w:val="16"/>
                <w:szCs w:val="16"/>
              </w:rPr>
              <w:t>Other Commodities</w:t>
            </w:r>
          </w:p>
        </w:tc>
        <w:tc>
          <w:tcPr>
            <w:tcW w:w="2374" w:type="dxa"/>
            <w:tcBorders>
              <w:top w:val="nil"/>
              <w:left w:val="nil"/>
              <w:bottom w:val="single" w:sz="4" w:space="0" w:color="auto"/>
              <w:right w:val="nil"/>
            </w:tcBorders>
            <w:shd w:val="clear" w:color="auto" w:fill="EEECE1"/>
            <w:noWrap/>
            <w:vAlign w:val="center"/>
          </w:tcPr>
          <w:p w:rsidR="00B42460" w:rsidRPr="009622FC" w:rsidRDefault="00B42460" w:rsidP="00B42460">
            <w:pPr>
              <w:spacing w:after="0" w:line="240" w:lineRule="auto"/>
              <w:jc w:val="center"/>
              <w:rPr>
                <w:rFonts w:ascii="Garamond" w:eastAsia="Times New Roman" w:hAnsi="Garamond" w:cs="Calibri"/>
                <w:color w:val="000000"/>
                <w:sz w:val="16"/>
                <w:szCs w:val="16"/>
                <w:lang w:eastAsia="id-ID"/>
              </w:rPr>
            </w:pPr>
            <w:r w:rsidRPr="009622FC">
              <w:rPr>
                <w:rFonts w:ascii="Garamond" w:hAnsi="Garamond" w:cs="Calibri"/>
                <w:color w:val="000000"/>
                <w:sz w:val="16"/>
                <w:szCs w:val="16"/>
              </w:rPr>
              <w:t xml:space="preserve">                                        400,000 </w:t>
            </w:r>
          </w:p>
        </w:tc>
      </w:tr>
      <w:tr w:rsidR="00B42460" w:rsidRPr="009622FC">
        <w:trPr>
          <w:trHeight w:val="219"/>
          <w:jc w:val="center"/>
        </w:trPr>
        <w:tc>
          <w:tcPr>
            <w:tcW w:w="3646" w:type="dxa"/>
            <w:gridSpan w:val="2"/>
            <w:tcBorders>
              <w:top w:val="single" w:sz="4" w:space="0" w:color="auto"/>
              <w:left w:val="nil"/>
              <w:bottom w:val="single" w:sz="4" w:space="0" w:color="auto"/>
              <w:right w:val="nil"/>
            </w:tcBorders>
            <w:noWrap/>
            <w:vAlign w:val="center"/>
          </w:tcPr>
          <w:p w:rsidR="00B42460" w:rsidRPr="009622FC" w:rsidRDefault="00B42460" w:rsidP="00B42460">
            <w:pPr>
              <w:spacing w:after="0" w:line="240" w:lineRule="auto"/>
              <w:jc w:val="right"/>
              <w:rPr>
                <w:rFonts w:ascii="Garamond" w:eastAsia="Times New Roman" w:hAnsi="Garamond" w:cs="Calibri"/>
                <w:b/>
                <w:bCs/>
                <w:color w:val="000000"/>
                <w:sz w:val="16"/>
                <w:szCs w:val="16"/>
                <w:lang w:eastAsia="id-ID"/>
              </w:rPr>
            </w:pPr>
            <w:r w:rsidRPr="009622FC">
              <w:rPr>
                <w:rFonts w:ascii="Garamond" w:hAnsi="Garamond" w:cs="Calibri"/>
                <w:b/>
                <w:bCs/>
                <w:color w:val="000000"/>
                <w:sz w:val="16"/>
                <w:szCs w:val="16"/>
              </w:rPr>
              <w:t>Total</w:t>
            </w:r>
          </w:p>
        </w:tc>
        <w:tc>
          <w:tcPr>
            <w:tcW w:w="2374" w:type="dxa"/>
            <w:tcBorders>
              <w:top w:val="nil"/>
              <w:left w:val="nil"/>
              <w:bottom w:val="single" w:sz="4" w:space="0" w:color="auto"/>
              <w:right w:val="nil"/>
            </w:tcBorders>
            <w:noWrap/>
            <w:vAlign w:val="center"/>
          </w:tcPr>
          <w:p w:rsidR="00B42460" w:rsidRPr="009622FC" w:rsidRDefault="00B42460" w:rsidP="00B42460">
            <w:pPr>
              <w:spacing w:after="0" w:line="240" w:lineRule="auto"/>
              <w:jc w:val="center"/>
              <w:rPr>
                <w:rFonts w:ascii="Garamond" w:eastAsia="Times New Roman" w:hAnsi="Garamond" w:cs="Calibri"/>
                <w:b/>
                <w:bCs/>
                <w:color w:val="000000"/>
                <w:sz w:val="16"/>
                <w:szCs w:val="16"/>
                <w:lang w:eastAsia="id-ID"/>
              </w:rPr>
            </w:pPr>
            <w:r w:rsidRPr="009622FC">
              <w:rPr>
                <w:rFonts w:ascii="Garamond" w:hAnsi="Garamond" w:cs="Calibri"/>
                <w:b/>
                <w:bCs/>
                <w:color w:val="000000"/>
                <w:sz w:val="16"/>
                <w:szCs w:val="16"/>
              </w:rPr>
              <w:t xml:space="preserve">                                     3,500,000 </w:t>
            </w:r>
          </w:p>
        </w:tc>
      </w:tr>
    </w:tbl>
    <w:p w:rsidR="00B42460" w:rsidRPr="009622FC" w:rsidRDefault="00B42460" w:rsidP="00925300">
      <w:pPr>
        <w:spacing w:after="0"/>
        <w:ind w:left="851" w:hanging="851"/>
        <w:jc w:val="center"/>
        <w:rPr>
          <w:rFonts w:ascii="Garamond" w:hAnsi="Garamond" w:cs="Calibri"/>
          <w:sz w:val="20"/>
          <w:lang w:val="en-US"/>
        </w:rPr>
      </w:pPr>
      <w:r w:rsidRPr="009622FC">
        <w:rPr>
          <w:rFonts w:ascii="Garamond" w:hAnsi="Garamond"/>
          <w:sz w:val="20"/>
        </w:rPr>
        <w:t>Source: Hendarto, 2012 in Puska Antropologi UI, and The Asia Foundation, 2013 unpublished</w:t>
      </w:r>
    </w:p>
    <w:p w:rsidR="00B42460" w:rsidRPr="009622FC" w:rsidRDefault="00B42460" w:rsidP="00B42460">
      <w:pPr>
        <w:spacing w:after="0"/>
        <w:rPr>
          <w:rFonts w:ascii="Garamond" w:hAnsi="Garamond" w:cs="Calibri"/>
        </w:rPr>
      </w:pPr>
    </w:p>
    <w:p w:rsidR="00B42460" w:rsidRPr="009622FC" w:rsidRDefault="00B42460" w:rsidP="00B42460">
      <w:pPr>
        <w:jc w:val="both"/>
        <w:rPr>
          <w:rFonts w:ascii="Garamond" w:hAnsi="Garamond" w:cs="Calibri"/>
        </w:rPr>
      </w:pPr>
      <w:r w:rsidRPr="009622FC">
        <w:rPr>
          <w:rFonts w:ascii="Garamond" w:hAnsi="Garamond"/>
          <w:b/>
        </w:rPr>
        <w:t>The expansion of mining and oil palm areas pose a threat of increased horizontal conflicts</w:t>
      </w:r>
      <w:r w:rsidR="0032116D" w:rsidRPr="009622FC">
        <w:rPr>
          <w:rFonts w:ascii="Garamond" w:hAnsi="Garamond"/>
        </w:rPr>
        <w:t>.</w:t>
      </w:r>
      <w:r w:rsidRPr="009622FC">
        <w:rPr>
          <w:rFonts w:ascii="Garamond" w:hAnsi="Garamond"/>
        </w:rPr>
        <w:t xml:space="preserve"> The gove</w:t>
      </w:r>
      <w:r w:rsidR="0032116D" w:rsidRPr="009622FC">
        <w:rPr>
          <w:rFonts w:ascii="Garamond" w:hAnsi="Garamond"/>
        </w:rPr>
        <w:t>rnment’s commitment to promote</w:t>
      </w:r>
      <w:r w:rsidRPr="009622FC">
        <w:rPr>
          <w:rFonts w:ascii="Garamond" w:hAnsi="Garamond"/>
        </w:rPr>
        <w:t xml:space="preserve"> economic growth through the mining and oil palm plantation sectors </w:t>
      </w:r>
      <w:r w:rsidR="0032116D" w:rsidRPr="009622FC">
        <w:rPr>
          <w:rFonts w:ascii="Garamond" w:hAnsi="Garamond"/>
        </w:rPr>
        <w:t xml:space="preserve">does not just threaten the existence of forests through the transfer of land and forest; it </w:t>
      </w:r>
      <w:r w:rsidRPr="009622FC">
        <w:rPr>
          <w:rFonts w:ascii="Garamond" w:hAnsi="Garamond"/>
        </w:rPr>
        <w:t>also puts pressure on the need to expand the land allocated for these two sectors. It is this need for land expansion that frequently results in land-based conflicts between local communities and companies. Ad</w:t>
      </w:r>
      <w:r w:rsidR="0032116D" w:rsidRPr="009622FC">
        <w:rPr>
          <w:rFonts w:ascii="Garamond" w:hAnsi="Garamond"/>
        </w:rPr>
        <w:t xml:space="preserve">ditionally, some conflicts </w:t>
      </w:r>
      <w:r w:rsidRPr="009622FC">
        <w:rPr>
          <w:rFonts w:ascii="Garamond" w:hAnsi="Garamond"/>
        </w:rPr>
        <w:t>arise from land boundaries that have not been clearly demarcated by the government. Data from the Agrarian Renewal Consortium, for example, says that out of the designated area of forest, reaching 136.94 million Ha, or 69 percent of Indonesia’s total territory, only around 12-13 percent of the area has been demarcated by the government.</w:t>
      </w:r>
      <w:r w:rsidRPr="009622FC">
        <w:rPr>
          <w:rStyle w:val="FootnoteReference"/>
          <w:rFonts w:ascii="Garamond" w:hAnsi="Garamond" w:cs="Calibri"/>
        </w:rPr>
        <w:footnoteReference w:id="29"/>
      </w:r>
      <w:r w:rsidRPr="009622FC">
        <w:rPr>
          <w:rFonts w:ascii="Garamond" w:hAnsi="Garamond"/>
        </w:rPr>
        <w:t xml:space="preserve"> It is this condition that triggers the relatively high number of land conflicts. </w:t>
      </w:r>
    </w:p>
    <w:p w:rsidR="00B42460" w:rsidRPr="009622FC" w:rsidRDefault="00B42460" w:rsidP="00B42460">
      <w:pPr>
        <w:jc w:val="both"/>
        <w:rPr>
          <w:rFonts w:ascii="Garamond" w:hAnsi="Garamond"/>
        </w:rPr>
      </w:pPr>
      <w:r w:rsidRPr="009622FC">
        <w:rPr>
          <w:rFonts w:ascii="Garamond" w:hAnsi="Garamond"/>
          <w:b/>
        </w:rPr>
        <w:t>Conflicts over plantation areas are more common than other kinds of conflicts, as even more than two conflicts can arise in a given month</w:t>
      </w:r>
      <w:r w:rsidRPr="009622FC">
        <w:rPr>
          <w:rFonts w:ascii="Garamond" w:hAnsi="Garamond"/>
        </w:rPr>
        <w:t>. As of 2011, there were 30 recorded land conflicts in South Sumatra province, and this increased to 43 conflicts in 2013.</w:t>
      </w:r>
      <w:r w:rsidRPr="009622FC">
        <w:rPr>
          <w:rStyle w:val="FootnoteReference"/>
          <w:rFonts w:ascii="Garamond" w:hAnsi="Garamond"/>
          <w:lang w:val="en-US"/>
        </w:rPr>
        <w:footnoteReference w:id="30"/>
      </w:r>
      <w:r w:rsidRPr="009622FC">
        <w:rPr>
          <w:rFonts w:ascii="Garamond" w:hAnsi="Garamond"/>
        </w:rPr>
        <w:t xml:space="preserve"> West Kalimantan province had the highest number of plantation land conflicts, with 55 cases reported in 2012. From such data, it is </w:t>
      </w:r>
      <w:r w:rsidR="0026790F" w:rsidRPr="009622FC">
        <w:rPr>
          <w:rFonts w:ascii="Garamond" w:hAnsi="Garamond"/>
        </w:rPr>
        <w:t>found that there have been an average of two to five</w:t>
      </w:r>
      <w:r w:rsidRPr="009622FC">
        <w:rPr>
          <w:rFonts w:ascii="Garamond" w:hAnsi="Garamond"/>
        </w:rPr>
        <w:t xml:space="preserve"> cases </w:t>
      </w:r>
      <w:r w:rsidR="0026790F" w:rsidRPr="009622FC">
        <w:rPr>
          <w:rFonts w:ascii="Garamond" w:hAnsi="Garamond"/>
        </w:rPr>
        <w:t>a month</w:t>
      </w:r>
      <w:r w:rsidRPr="009622FC">
        <w:rPr>
          <w:rFonts w:ascii="Garamond" w:hAnsi="Garamond"/>
        </w:rPr>
        <w:t>. Meanwh</w:t>
      </w:r>
      <w:r w:rsidR="0026790F" w:rsidRPr="009622FC">
        <w:rPr>
          <w:rFonts w:ascii="Garamond" w:hAnsi="Garamond"/>
        </w:rPr>
        <w:t>ile, in East Kalimantan</w:t>
      </w:r>
      <w:r w:rsidRPr="009622FC">
        <w:rPr>
          <w:rFonts w:ascii="Garamond" w:hAnsi="Garamond"/>
        </w:rPr>
        <w:t>, plantation</w:t>
      </w:r>
      <w:r w:rsidR="0026790F" w:rsidRPr="009622FC">
        <w:rPr>
          <w:rFonts w:ascii="Garamond" w:hAnsi="Garamond"/>
        </w:rPr>
        <w:t xml:space="preserve">s and forestry are the most common </w:t>
      </w:r>
      <w:r w:rsidRPr="009622FC">
        <w:rPr>
          <w:rFonts w:ascii="Garamond" w:hAnsi="Garamond"/>
        </w:rPr>
        <w:t>s</w:t>
      </w:r>
      <w:r w:rsidR="0026790F" w:rsidRPr="009622FC">
        <w:rPr>
          <w:rFonts w:ascii="Garamond" w:hAnsi="Garamond"/>
        </w:rPr>
        <w:t xml:space="preserve">ources of conflict. Domestic </w:t>
      </w:r>
      <w:r w:rsidRPr="009622FC">
        <w:rPr>
          <w:rFonts w:ascii="Garamond" w:hAnsi="Garamond"/>
        </w:rPr>
        <w:t xml:space="preserve">private companies have </w:t>
      </w:r>
      <w:r w:rsidR="0026790F" w:rsidRPr="009622FC">
        <w:rPr>
          <w:rFonts w:ascii="Garamond" w:hAnsi="Garamond"/>
        </w:rPr>
        <w:t>caused</w:t>
      </w:r>
      <w:r w:rsidRPr="009622FC">
        <w:rPr>
          <w:rFonts w:ascii="Garamond" w:hAnsi="Garamond"/>
        </w:rPr>
        <w:t xml:space="preserve"> the most conflict with society in terms of existing conflicts. There is a</w:t>
      </w:r>
      <w:r w:rsidR="0026790F" w:rsidRPr="009622FC">
        <w:rPr>
          <w:rFonts w:ascii="Garamond" w:hAnsi="Garamond"/>
        </w:rPr>
        <w:t>lso a</w:t>
      </w:r>
      <w:r w:rsidRPr="009622FC">
        <w:rPr>
          <w:rFonts w:ascii="Garamond" w:hAnsi="Garamond"/>
        </w:rPr>
        <w:t xml:space="preserve"> good number of f</w:t>
      </w:r>
      <w:r w:rsidR="0026790F" w:rsidRPr="009622FC">
        <w:rPr>
          <w:rFonts w:ascii="Garamond" w:hAnsi="Garamond"/>
        </w:rPr>
        <w:t xml:space="preserve">oreign private companies in West Kalimantan </w:t>
      </w:r>
      <w:r w:rsidRPr="009622FC">
        <w:rPr>
          <w:rFonts w:ascii="Garamond" w:hAnsi="Garamond"/>
        </w:rPr>
        <w:t>compared to those in East Kalimantan province. T</w:t>
      </w:r>
      <w:r w:rsidR="0026790F" w:rsidRPr="009622FC">
        <w:rPr>
          <w:rFonts w:ascii="Garamond" w:hAnsi="Garamond"/>
        </w:rPr>
        <w:t xml:space="preserve">he following table shows the </w:t>
      </w:r>
      <w:r w:rsidRPr="009622FC">
        <w:rPr>
          <w:rFonts w:ascii="Garamond" w:hAnsi="Garamond"/>
        </w:rPr>
        <w:t xml:space="preserve">very high frequency of plantation conflicts in the provinces of both East and West Kalimantan. </w:t>
      </w:r>
    </w:p>
    <w:p w:rsidR="00B42460" w:rsidRPr="009622FC" w:rsidRDefault="00B42460" w:rsidP="00B42460">
      <w:pPr>
        <w:jc w:val="center"/>
        <w:rPr>
          <w:rFonts w:ascii="Garamond" w:hAnsi="Garamond"/>
          <w:b/>
          <w:lang w:val="en-US"/>
        </w:rPr>
      </w:pPr>
      <w:r w:rsidRPr="009622FC">
        <w:rPr>
          <w:rFonts w:ascii="Garamond" w:hAnsi="Garamond"/>
          <w:b/>
        </w:rPr>
        <w:t>Table 2.8 Conflicts and Conflicting Companies in 2012</w:t>
      </w:r>
    </w:p>
    <w:tbl>
      <w:tblPr>
        <w:tblW w:w="9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
        <w:gridCol w:w="1209"/>
        <w:gridCol w:w="1190"/>
        <w:gridCol w:w="1224"/>
        <w:gridCol w:w="1398"/>
        <w:gridCol w:w="1036"/>
        <w:gridCol w:w="899"/>
        <w:gridCol w:w="1321"/>
      </w:tblGrid>
      <w:tr w:rsidR="00B42460" w:rsidRPr="009622FC">
        <w:trPr>
          <w:jc w:val="center"/>
        </w:trPr>
        <w:tc>
          <w:tcPr>
            <w:tcW w:w="1117" w:type="dxa"/>
            <w:vMerge w:val="restart"/>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Area</w:t>
            </w:r>
          </w:p>
        </w:tc>
        <w:tc>
          <w:tcPr>
            <w:tcW w:w="8251" w:type="dxa"/>
            <w:gridSpan w:val="7"/>
            <w:tcBorders>
              <w:top w:val="single" w:sz="12" w:space="0" w:color="FFFFFF"/>
              <w:left w:val="single" w:sz="12" w:space="0" w:color="FFFFFF"/>
              <w:bottom w:val="single" w:sz="12" w:space="0" w:color="FFFFFF"/>
              <w:right w:val="single" w:sz="12" w:space="0" w:color="FFFFFF"/>
            </w:tcBorders>
            <w:shd w:val="clear" w:color="auto" w:fill="FFC000"/>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Year 2012</w:t>
            </w:r>
          </w:p>
        </w:tc>
      </w:tr>
      <w:tr w:rsidR="00B42460" w:rsidRPr="009622FC">
        <w:trPr>
          <w:jc w:val="center"/>
        </w:trPr>
        <w:tc>
          <w:tcPr>
            <w:tcW w:w="0" w:type="auto"/>
            <w:vMerge/>
            <w:tcBorders>
              <w:top w:val="single" w:sz="12" w:space="0" w:color="FFFFFF"/>
              <w:left w:val="single" w:sz="12" w:space="0" w:color="FFFFFF"/>
              <w:bottom w:val="single" w:sz="12" w:space="0" w:color="FFFFFF"/>
              <w:right w:val="single" w:sz="12" w:space="0" w:color="FFFFFF"/>
            </w:tcBorders>
            <w:shd w:val="clear" w:color="auto" w:fill="auto"/>
            <w:vAlign w:val="center"/>
          </w:tcPr>
          <w:p w:rsidR="00B42460" w:rsidRPr="009622FC" w:rsidRDefault="00B42460" w:rsidP="00B42460">
            <w:pPr>
              <w:spacing w:after="0"/>
              <w:rPr>
                <w:rFonts w:ascii="Garamond" w:hAnsi="Garamond"/>
                <w:b/>
                <w:sz w:val="20"/>
              </w:rPr>
            </w:pPr>
          </w:p>
        </w:tc>
        <w:tc>
          <w:tcPr>
            <w:tcW w:w="5116" w:type="dxa"/>
            <w:gridSpan w:val="4"/>
            <w:tcBorders>
              <w:top w:val="single" w:sz="12" w:space="0" w:color="FFFFFF"/>
              <w:left w:val="single" w:sz="12" w:space="0" w:color="FFFFFF"/>
              <w:bottom w:val="single" w:sz="12" w:space="0" w:color="FFFFFF"/>
              <w:right w:val="single" w:sz="12" w:space="0" w:color="FFFFFF"/>
            </w:tcBorders>
            <w:shd w:val="clear" w:color="auto" w:fill="FFC000"/>
            <w:vAlign w:val="center"/>
          </w:tcPr>
          <w:p w:rsidR="00B42460" w:rsidRPr="009622FC" w:rsidRDefault="00B42460" w:rsidP="00B42460">
            <w:pPr>
              <w:spacing w:after="0"/>
              <w:jc w:val="center"/>
              <w:rPr>
                <w:rFonts w:ascii="Garamond" w:hAnsi="Garamond"/>
                <w:sz w:val="20"/>
              </w:rPr>
            </w:pPr>
            <w:r w:rsidRPr="009622FC">
              <w:rPr>
                <w:rFonts w:ascii="Garamond" w:hAnsi="Garamond"/>
                <w:b/>
                <w:sz w:val="20"/>
              </w:rPr>
              <w:t xml:space="preserve">Conflict </w:t>
            </w:r>
          </w:p>
        </w:tc>
        <w:tc>
          <w:tcPr>
            <w:tcW w:w="3135" w:type="dxa"/>
            <w:gridSpan w:val="3"/>
            <w:tcBorders>
              <w:top w:val="single" w:sz="12" w:space="0" w:color="FFFFFF"/>
              <w:left w:val="single" w:sz="12" w:space="0" w:color="FFFFFF"/>
              <w:bottom w:val="single" w:sz="12" w:space="0" w:color="FFFFFF"/>
              <w:right w:val="single" w:sz="12" w:space="0" w:color="FFFFFF"/>
            </w:tcBorders>
            <w:shd w:val="clear" w:color="auto" w:fill="FFC000"/>
            <w:vAlign w:val="center"/>
          </w:tcPr>
          <w:p w:rsidR="00B42460" w:rsidRPr="009622FC" w:rsidRDefault="00B42460" w:rsidP="00B42460">
            <w:pPr>
              <w:spacing w:after="0"/>
              <w:jc w:val="center"/>
              <w:rPr>
                <w:rFonts w:ascii="Garamond" w:hAnsi="Garamond"/>
                <w:sz w:val="20"/>
              </w:rPr>
            </w:pPr>
            <w:r w:rsidRPr="009622FC">
              <w:rPr>
                <w:rFonts w:ascii="Garamond" w:hAnsi="Garamond"/>
                <w:b/>
                <w:sz w:val="20"/>
              </w:rPr>
              <w:t>Conflicting Companies</w:t>
            </w:r>
          </w:p>
        </w:tc>
      </w:tr>
      <w:tr w:rsidR="00B42460" w:rsidRPr="009622FC">
        <w:trPr>
          <w:jc w:val="center"/>
        </w:trPr>
        <w:tc>
          <w:tcPr>
            <w:tcW w:w="0" w:type="auto"/>
            <w:vMerge/>
            <w:tcBorders>
              <w:top w:val="single" w:sz="12" w:space="0" w:color="FFFFFF"/>
              <w:left w:val="single" w:sz="12" w:space="0" w:color="FFFFFF"/>
              <w:bottom w:val="single" w:sz="12" w:space="0" w:color="FFFFFF"/>
              <w:right w:val="single" w:sz="12" w:space="0" w:color="FFFFFF"/>
            </w:tcBorders>
            <w:shd w:val="clear" w:color="auto" w:fill="auto"/>
            <w:vAlign w:val="center"/>
          </w:tcPr>
          <w:p w:rsidR="00B42460" w:rsidRPr="009622FC" w:rsidRDefault="00B42460" w:rsidP="00B42460">
            <w:pPr>
              <w:spacing w:after="0"/>
              <w:rPr>
                <w:rFonts w:ascii="Garamond" w:hAnsi="Garamond"/>
                <w:b/>
                <w:sz w:val="20"/>
              </w:rPr>
            </w:pPr>
          </w:p>
        </w:tc>
        <w:tc>
          <w:tcPr>
            <w:tcW w:w="1219"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Plantation Conflict</w:t>
            </w:r>
          </w:p>
        </w:tc>
        <w:tc>
          <w:tcPr>
            <w:tcW w:w="1213"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Forestry Conflict</w:t>
            </w:r>
          </w:p>
        </w:tc>
        <w:tc>
          <w:tcPr>
            <w:tcW w:w="1244"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Spatial Zoning Violation</w:t>
            </w:r>
          </w:p>
        </w:tc>
        <w:tc>
          <w:tcPr>
            <w:tcW w:w="1440"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Mining Conflict</w:t>
            </w:r>
          </w:p>
        </w:tc>
        <w:tc>
          <w:tcPr>
            <w:tcW w:w="1042"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National Private</w:t>
            </w:r>
          </w:p>
        </w:tc>
        <w:tc>
          <w:tcPr>
            <w:tcW w:w="900"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Foreign Private</w:t>
            </w:r>
          </w:p>
        </w:tc>
        <w:tc>
          <w:tcPr>
            <w:tcW w:w="1193" w:type="dxa"/>
            <w:tcBorders>
              <w:top w:val="single" w:sz="12" w:space="0" w:color="FFFFFF"/>
              <w:left w:val="single" w:sz="12" w:space="0" w:color="FFFFFF"/>
              <w:bottom w:val="single" w:sz="12" w:space="0" w:color="FFFFFF"/>
              <w:right w:val="single" w:sz="12" w:space="0" w:color="FFFFFF"/>
            </w:tcBorders>
            <w:shd w:val="clear" w:color="auto" w:fill="9BBB59"/>
            <w:vAlign w:val="center"/>
          </w:tcPr>
          <w:p w:rsidR="00B42460" w:rsidRPr="009622FC" w:rsidRDefault="00B42460" w:rsidP="00B42460">
            <w:pPr>
              <w:spacing w:after="0"/>
              <w:jc w:val="center"/>
              <w:rPr>
                <w:rFonts w:ascii="Garamond" w:hAnsi="Garamond"/>
                <w:sz w:val="20"/>
              </w:rPr>
            </w:pPr>
            <w:r w:rsidRPr="009622FC">
              <w:rPr>
                <w:rFonts w:ascii="Garamond" w:hAnsi="Garamond"/>
                <w:b/>
                <w:sz w:val="20"/>
              </w:rPr>
              <w:t>State Corporations</w:t>
            </w:r>
          </w:p>
        </w:tc>
      </w:tr>
      <w:tr w:rsidR="00B42460" w:rsidRPr="009622FC">
        <w:trPr>
          <w:jc w:val="center"/>
        </w:trPr>
        <w:tc>
          <w:tcPr>
            <w:tcW w:w="1117"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Kaltim</w:t>
            </w:r>
          </w:p>
        </w:tc>
        <w:tc>
          <w:tcPr>
            <w:tcW w:w="1219"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30</w:t>
            </w:r>
          </w:p>
        </w:tc>
        <w:tc>
          <w:tcPr>
            <w:tcW w:w="1213"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26</w:t>
            </w:r>
          </w:p>
        </w:tc>
        <w:tc>
          <w:tcPr>
            <w:tcW w:w="1244"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7</w:t>
            </w:r>
          </w:p>
        </w:tc>
        <w:tc>
          <w:tcPr>
            <w:tcW w:w="1440"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5</w:t>
            </w:r>
          </w:p>
        </w:tc>
        <w:tc>
          <w:tcPr>
            <w:tcW w:w="1042"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37</w:t>
            </w:r>
          </w:p>
        </w:tc>
        <w:tc>
          <w:tcPr>
            <w:tcW w:w="900"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5</w:t>
            </w:r>
          </w:p>
        </w:tc>
        <w:tc>
          <w:tcPr>
            <w:tcW w:w="1193"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1</w:t>
            </w:r>
          </w:p>
        </w:tc>
      </w:tr>
      <w:tr w:rsidR="00B42460" w:rsidRPr="009622FC">
        <w:trPr>
          <w:jc w:val="center"/>
        </w:trPr>
        <w:tc>
          <w:tcPr>
            <w:tcW w:w="1117"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b/>
                <w:sz w:val="20"/>
              </w:rPr>
            </w:pPr>
            <w:r w:rsidRPr="009622FC">
              <w:rPr>
                <w:rFonts w:ascii="Garamond" w:hAnsi="Garamond"/>
                <w:b/>
                <w:sz w:val="20"/>
              </w:rPr>
              <w:t>kalbar</w:t>
            </w:r>
          </w:p>
        </w:tc>
        <w:tc>
          <w:tcPr>
            <w:tcW w:w="1219"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55</w:t>
            </w:r>
          </w:p>
        </w:tc>
        <w:tc>
          <w:tcPr>
            <w:tcW w:w="1213"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1</w:t>
            </w:r>
          </w:p>
        </w:tc>
        <w:tc>
          <w:tcPr>
            <w:tcW w:w="2684" w:type="dxa"/>
            <w:gridSpan w:val="2"/>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1</w:t>
            </w:r>
          </w:p>
        </w:tc>
        <w:tc>
          <w:tcPr>
            <w:tcW w:w="1042"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44</w:t>
            </w:r>
          </w:p>
        </w:tc>
        <w:tc>
          <w:tcPr>
            <w:tcW w:w="900"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10</w:t>
            </w:r>
          </w:p>
        </w:tc>
        <w:tc>
          <w:tcPr>
            <w:tcW w:w="1193" w:type="dxa"/>
            <w:tcBorders>
              <w:top w:val="single" w:sz="12" w:space="0" w:color="FFFFFF"/>
              <w:left w:val="single" w:sz="12" w:space="0" w:color="FFFFFF"/>
              <w:bottom w:val="single" w:sz="12" w:space="0" w:color="FFFFFF"/>
              <w:right w:val="single" w:sz="12" w:space="0" w:color="FFFFFF"/>
            </w:tcBorders>
            <w:shd w:val="clear" w:color="auto" w:fill="C4BC96"/>
            <w:vAlign w:val="center"/>
          </w:tcPr>
          <w:p w:rsidR="00B42460" w:rsidRPr="009622FC" w:rsidRDefault="00B42460" w:rsidP="00B42460">
            <w:pPr>
              <w:spacing w:after="0"/>
              <w:jc w:val="center"/>
              <w:rPr>
                <w:rFonts w:ascii="Garamond" w:hAnsi="Garamond"/>
                <w:sz w:val="20"/>
              </w:rPr>
            </w:pPr>
            <w:r w:rsidRPr="009622FC">
              <w:rPr>
                <w:rFonts w:ascii="Garamond" w:hAnsi="Garamond"/>
                <w:sz w:val="20"/>
              </w:rPr>
              <w:t>na</w:t>
            </w:r>
          </w:p>
        </w:tc>
      </w:tr>
    </w:tbl>
    <w:p w:rsidR="00B42460" w:rsidRPr="005418E1" w:rsidRDefault="00B42460" w:rsidP="00B42460">
      <w:pPr>
        <w:jc w:val="both"/>
        <w:rPr>
          <w:rFonts w:ascii="Garamond" w:hAnsi="Garamond"/>
          <w:sz w:val="20"/>
          <w:szCs w:val="20"/>
        </w:rPr>
      </w:pPr>
      <w:r w:rsidRPr="005418E1">
        <w:rPr>
          <w:rFonts w:ascii="Garamond" w:hAnsi="Garamond"/>
          <w:sz w:val="20"/>
          <w:szCs w:val="20"/>
        </w:rPr>
        <w:t>Source: http://www.geodata-cso.org/index.php/page/index/6</w:t>
      </w:r>
    </w:p>
    <w:p w:rsidR="00EE6790" w:rsidRDefault="00EE6790" w:rsidP="00B42460">
      <w:pPr>
        <w:jc w:val="both"/>
        <w:rPr>
          <w:rFonts w:ascii="Garamond" w:hAnsi="Garamond"/>
          <w:b/>
          <w:lang w:val="en-US"/>
        </w:rPr>
      </w:pPr>
    </w:p>
    <w:p w:rsidR="00B42460" w:rsidRPr="009622FC" w:rsidRDefault="00B42460" w:rsidP="00B42460">
      <w:pPr>
        <w:jc w:val="both"/>
        <w:rPr>
          <w:rFonts w:ascii="Garamond" w:hAnsi="Garamond"/>
          <w:b/>
          <w:u w:val="single"/>
          <w:lang w:val="en-US"/>
        </w:rPr>
      </w:pPr>
      <w:r w:rsidRPr="009622FC">
        <w:rPr>
          <w:rFonts w:ascii="Garamond" w:hAnsi="Garamond"/>
          <w:b/>
        </w:rPr>
        <w:lastRenderedPageBreak/>
        <w:t>2.3</w:t>
      </w:r>
      <w:r w:rsidRPr="009622FC">
        <w:rPr>
          <w:rFonts w:ascii="Garamond" w:hAnsi="Garamond"/>
          <w:b/>
          <w:i/>
        </w:rPr>
        <w:t xml:space="preserve"> </w:t>
      </w:r>
      <w:r w:rsidRPr="009622FC">
        <w:rPr>
          <w:rFonts w:ascii="Garamond" w:hAnsi="Garamond"/>
          <w:b/>
          <w:u w:val="single"/>
        </w:rPr>
        <w:t>Exploitative Planning Policies in the Absence of Adequate Recovery Programs</w:t>
      </w:r>
    </w:p>
    <w:p w:rsidR="00B42460" w:rsidRPr="009622FC" w:rsidRDefault="00B42460" w:rsidP="00B42460">
      <w:pPr>
        <w:jc w:val="both"/>
        <w:rPr>
          <w:rFonts w:ascii="Garamond" w:hAnsi="Garamond" w:cs="AGaramondPro-Regular"/>
          <w:b/>
          <w:lang w:val="en-US"/>
        </w:rPr>
      </w:pPr>
      <w:r w:rsidRPr="009622FC">
        <w:rPr>
          <w:rFonts w:ascii="Garamond" w:hAnsi="Garamond" w:cs="AGaramondPro-Regular"/>
          <w:b/>
        </w:rPr>
        <w:t>The area of critical land</w:t>
      </w:r>
      <w:r w:rsidRPr="009622FC">
        <w:rPr>
          <w:rStyle w:val="FootnoteReference"/>
          <w:rFonts w:ascii="Garamond" w:hAnsi="Garamond" w:cs="AGaramondPro-Regular"/>
          <w:b/>
          <w:lang w:val="en-US"/>
        </w:rPr>
        <w:footnoteReference w:id="31"/>
      </w:r>
      <w:r w:rsidRPr="009622FC">
        <w:rPr>
          <w:rFonts w:ascii="Garamond" w:hAnsi="Garamond" w:cs="AGaramondPro-Regular"/>
          <w:b/>
        </w:rPr>
        <w:t xml:space="preserve"> in the regions keeps increasing</w:t>
      </w:r>
      <w:r w:rsidRPr="009622FC">
        <w:rPr>
          <w:rFonts w:ascii="Garamond" w:hAnsi="Garamond" w:cs="AGaramondPro-Regular"/>
        </w:rPr>
        <w:t>. Of the three provinces under review, the area of critical land is greatest in</w:t>
      </w:r>
      <w:r w:rsidRPr="009622FC">
        <w:rPr>
          <w:rStyle w:val="FootnoteReference"/>
          <w:rFonts w:ascii="Garamond" w:hAnsi="Garamond" w:cs="AGaramondPro-Regular"/>
          <w:lang w:val="en-US"/>
        </w:rPr>
        <w:footnoteReference w:id="32"/>
      </w:r>
      <w:r w:rsidRPr="009622FC">
        <w:rPr>
          <w:rFonts w:ascii="Garamond" w:hAnsi="Garamond" w:cs="AGaramondPro-Regular"/>
        </w:rPr>
        <w:t xml:space="preserve"> the provinces of West Kalimantan and</w:t>
      </w:r>
      <w:r w:rsidRPr="009622FC">
        <w:rPr>
          <w:rFonts w:ascii="Garamond" w:hAnsi="Garamond"/>
        </w:rPr>
        <w:t xml:space="preserve"> </w:t>
      </w:r>
      <w:r w:rsidRPr="009622FC">
        <w:rPr>
          <w:rFonts w:ascii="Garamond" w:hAnsi="Garamond" w:cs="AGaramondPro-Regular"/>
        </w:rPr>
        <w:t xml:space="preserve">South Sumatra, covering more than 30 percent of </w:t>
      </w:r>
      <w:r w:rsidR="00FC4AA8" w:rsidRPr="009622FC">
        <w:rPr>
          <w:rFonts w:ascii="Garamond" w:hAnsi="Garamond" w:cs="AGaramondPro-Regular"/>
        </w:rPr>
        <w:t>the</w:t>
      </w:r>
      <w:r w:rsidRPr="009622FC">
        <w:rPr>
          <w:rFonts w:ascii="Garamond" w:hAnsi="Garamond" w:cs="AGaramondPro-Regular"/>
        </w:rPr>
        <w:t xml:space="preserve"> total area</w:t>
      </w:r>
      <w:r w:rsidR="00FC4AA8" w:rsidRPr="009622FC">
        <w:rPr>
          <w:rFonts w:ascii="Garamond" w:hAnsi="Garamond" w:cs="AGaramondPro-Regular"/>
        </w:rPr>
        <w:t xml:space="preserve"> of each. In East Kalimantan</w:t>
      </w:r>
      <w:r w:rsidRPr="009622FC">
        <w:rPr>
          <w:rFonts w:ascii="Garamond" w:hAnsi="Garamond" w:cs="AGaramondPro-Regular"/>
        </w:rPr>
        <w:t>, the area of critical land covers onl</w:t>
      </w:r>
      <w:r w:rsidR="00FC4AA8" w:rsidRPr="009622FC">
        <w:rPr>
          <w:rFonts w:ascii="Garamond" w:hAnsi="Garamond" w:cs="AGaramondPro-Regular"/>
        </w:rPr>
        <w:t xml:space="preserve">y 14 percent of the total </w:t>
      </w:r>
      <w:r w:rsidRPr="009622FC">
        <w:rPr>
          <w:rFonts w:ascii="Garamond" w:hAnsi="Garamond" w:cs="AGaramondPro-Regular"/>
        </w:rPr>
        <w:t xml:space="preserve">area. However, East Kalimantan has experienced the greatest growth in area of critical land, constituting more than 300,000 Ha per year from 2007-2011. In South Sumatra province, the area of critical land grew by 250,000 Ha per year during the same period. </w:t>
      </w:r>
    </w:p>
    <w:p w:rsidR="00B42460" w:rsidRPr="009622FC" w:rsidRDefault="000D1F88" w:rsidP="00B42460">
      <w:pPr>
        <w:tabs>
          <w:tab w:val="left" w:pos="5265"/>
        </w:tabs>
        <w:jc w:val="center"/>
        <w:rPr>
          <w:rFonts w:ascii="Garamond" w:hAnsi="Garamond" w:cs="AGaramondPro-Regular"/>
          <w:b/>
        </w:rPr>
      </w:pPr>
      <w:r w:rsidRPr="009622FC">
        <w:rPr>
          <w:rFonts w:ascii="Garamond" w:hAnsi="Garamond" w:cs="AGaramondPro-Regular"/>
          <w:b/>
        </w:rPr>
        <w:t xml:space="preserve">Table 2.9 </w:t>
      </w:r>
      <w:r w:rsidR="00B42460" w:rsidRPr="009622FC">
        <w:rPr>
          <w:rFonts w:ascii="Garamond" w:hAnsi="Garamond" w:cs="AGaramondPro-Regular"/>
          <w:b/>
        </w:rPr>
        <w:t xml:space="preserve">Critical Land Area Growth in Three Provinces, 2007-2011 </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1170"/>
        <w:gridCol w:w="1351"/>
        <w:gridCol w:w="1261"/>
        <w:gridCol w:w="1261"/>
        <w:gridCol w:w="901"/>
        <w:gridCol w:w="1171"/>
      </w:tblGrid>
      <w:tr w:rsidR="00B42460" w:rsidRPr="009622FC">
        <w:trPr>
          <w:jc w:val="center"/>
        </w:trPr>
        <w:tc>
          <w:tcPr>
            <w:tcW w:w="1885" w:type="dxa"/>
            <w:vMerge w:val="restart"/>
            <w:tcBorders>
              <w:top w:val="single" w:sz="4" w:space="0" w:color="000000"/>
              <w:left w:val="single" w:sz="4" w:space="0" w:color="000000"/>
              <w:bottom w:val="single" w:sz="4" w:space="0" w:color="000000"/>
              <w:right w:val="single" w:sz="4" w:space="0" w:color="000000"/>
            </w:tcBorders>
            <w:shd w:val="clear" w:color="auto" w:fill="9BBB59"/>
            <w:vAlign w:val="center"/>
          </w:tcPr>
          <w:p w:rsidR="00B42460" w:rsidRPr="009622FC" w:rsidRDefault="00B42460" w:rsidP="00B42460">
            <w:pPr>
              <w:spacing w:after="0"/>
              <w:jc w:val="center"/>
              <w:rPr>
                <w:rFonts w:ascii="Garamond" w:hAnsi="Garamond"/>
                <w:b/>
              </w:rPr>
            </w:pPr>
            <w:r w:rsidRPr="009622FC">
              <w:rPr>
                <w:rFonts w:ascii="Garamond" w:hAnsi="Garamond"/>
                <w:b/>
              </w:rPr>
              <w:t>Condition of</w:t>
            </w:r>
          </w:p>
          <w:p w:rsidR="00B42460" w:rsidRPr="009622FC" w:rsidRDefault="00B42460" w:rsidP="00B42460">
            <w:pPr>
              <w:spacing w:after="0"/>
              <w:jc w:val="center"/>
              <w:rPr>
                <w:rFonts w:ascii="Garamond" w:hAnsi="Garamond"/>
                <w:b/>
              </w:rPr>
            </w:pPr>
            <w:r w:rsidRPr="009622FC">
              <w:rPr>
                <w:rFonts w:ascii="Garamond" w:hAnsi="Garamond"/>
                <w:b/>
              </w:rPr>
              <w:t>Land</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9BBB59"/>
            <w:vAlign w:val="center"/>
          </w:tcPr>
          <w:p w:rsidR="00B42460" w:rsidRPr="009622FC" w:rsidRDefault="00B42460" w:rsidP="00B42460">
            <w:pPr>
              <w:spacing w:after="0"/>
              <w:jc w:val="center"/>
              <w:rPr>
                <w:rFonts w:ascii="Garamond" w:hAnsi="Garamond"/>
                <w:b/>
              </w:rPr>
            </w:pPr>
            <w:r w:rsidRPr="009622FC">
              <w:rPr>
                <w:rFonts w:ascii="Garamond" w:hAnsi="Garamond"/>
                <w:b/>
              </w:rPr>
              <w:t xml:space="preserve">South Sumatra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9BBB59"/>
            <w:vAlign w:val="center"/>
          </w:tcPr>
          <w:p w:rsidR="00B42460" w:rsidRPr="009622FC" w:rsidRDefault="00B42460" w:rsidP="00B42460">
            <w:pPr>
              <w:spacing w:after="0"/>
              <w:jc w:val="center"/>
              <w:rPr>
                <w:rFonts w:ascii="Garamond" w:hAnsi="Garamond"/>
                <w:b/>
              </w:rPr>
            </w:pPr>
            <w:r w:rsidRPr="009622FC">
              <w:rPr>
                <w:rFonts w:ascii="Garamond" w:hAnsi="Garamond"/>
                <w:b/>
              </w:rPr>
              <w:t xml:space="preserve">East Kalimantan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9BBB59"/>
            <w:vAlign w:val="center"/>
          </w:tcPr>
          <w:p w:rsidR="00B42460" w:rsidRPr="009622FC" w:rsidRDefault="00B42460" w:rsidP="00B42460">
            <w:pPr>
              <w:spacing w:after="0"/>
              <w:jc w:val="center"/>
              <w:rPr>
                <w:rFonts w:ascii="Garamond" w:hAnsi="Garamond"/>
                <w:b/>
              </w:rPr>
            </w:pPr>
            <w:r w:rsidRPr="009622FC">
              <w:rPr>
                <w:rFonts w:ascii="Garamond" w:hAnsi="Garamond"/>
                <w:b/>
              </w:rPr>
              <w:t xml:space="preserve">West Kalimantan </w:t>
            </w:r>
          </w:p>
        </w:tc>
      </w:tr>
      <w:tr w:rsidR="00B42460" w:rsidRPr="009622FC">
        <w:trPr>
          <w:jc w:val="center"/>
        </w:trPr>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rPr>
                <w:rFonts w:ascii="Garamond" w:hAnsi="Garamond"/>
                <w:b/>
              </w:rPr>
            </w:pPr>
          </w:p>
        </w:tc>
        <w:tc>
          <w:tcPr>
            <w:tcW w:w="117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spacing w:after="0"/>
              <w:jc w:val="center"/>
              <w:rPr>
                <w:rFonts w:ascii="Garamond" w:hAnsi="Garamond"/>
                <w:b/>
              </w:rPr>
            </w:pPr>
            <w:r w:rsidRPr="009622FC">
              <w:rPr>
                <w:rFonts w:ascii="Garamond" w:hAnsi="Garamond"/>
                <w:b/>
              </w:rPr>
              <w:t>2007</w:t>
            </w:r>
          </w:p>
        </w:tc>
        <w:tc>
          <w:tcPr>
            <w:tcW w:w="135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spacing w:after="0"/>
              <w:jc w:val="center"/>
              <w:rPr>
                <w:rFonts w:ascii="Garamond" w:hAnsi="Garamond"/>
                <w:b/>
              </w:rPr>
            </w:pPr>
            <w:r w:rsidRPr="009622FC">
              <w:rPr>
                <w:rFonts w:ascii="Garamond" w:hAnsi="Garamond"/>
                <w:b/>
              </w:rPr>
              <w:t>2011</w:t>
            </w:r>
          </w:p>
        </w:tc>
        <w:tc>
          <w:tcPr>
            <w:tcW w:w="1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spacing w:after="0"/>
              <w:jc w:val="center"/>
              <w:rPr>
                <w:rFonts w:ascii="Garamond" w:hAnsi="Garamond"/>
                <w:b/>
              </w:rPr>
            </w:pPr>
            <w:r w:rsidRPr="009622FC">
              <w:rPr>
                <w:rFonts w:ascii="Garamond" w:hAnsi="Garamond"/>
                <w:b/>
              </w:rPr>
              <w:t>2007</w:t>
            </w:r>
          </w:p>
        </w:tc>
        <w:tc>
          <w:tcPr>
            <w:tcW w:w="126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spacing w:after="0"/>
              <w:jc w:val="center"/>
              <w:rPr>
                <w:rFonts w:ascii="Garamond" w:hAnsi="Garamond"/>
                <w:b/>
              </w:rPr>
            </w:pPr>
            <w:r w:rsidRPr="009622FC">
              <w:rPr>
                <w:rFonts w:ascii="Garamond" w:hAnsi="Garamond"/>
                <w:b/>
              </w:rPr>
              <w:t>2011</w:t>
            </w:r>
          </w:p>
        </w:tc>
        <w:tc>
          <w:tcPr>
            <w:tcW w:w="9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spacing w:after="0"/>
              <w:jc w:val="center"/>
              <w:rPr>
                <w:rFonts w:ascii="Garamond" w:hAnsi="Garamond"/>
                <w:b/>
              </w:rPr>
            </w:pPr>
            <w:r w:rsidRPr="009622FC">
              <w:rPr>
                <w:rFonts w:ascii="Garamond" w:hAnsi="Garamond"/>
                <w:b/>
              </w:rPr>
              <w:t>2007</w:t>
            </w:r>
          </w:p>
        </w:tc>
        <w:tc>
          <w:tcPr>
            <w:tcW w:w="117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spacing w:after="0"/>
              <w:jc w:val="center"/>
              <w:rPr>
                <w:rFonts w:ascii="Garamond" w:hAnsi="Garamond"/>
                <w:b/>
              </w:rPr>
            </w:pPr>
            <w:r w:rsidRPr="009622FC">
              <w:rPr>
                <w:rFonts w:ascii="Garamond" w:hAnsi="Garamond"/>
                <w:b/>
              </w:rPr>
              <w:t>2011</w:t>
            </w:r>
          </w:p>
        </w:tc>
      </w:tr>
      <w:tr w:rsidR="00B42460" w:rsidRPr="009622FC">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Critical land</w:t>
            </w:r>
          </w:p>
        </w:tc>
        <w:tc>
          <w:tcPr>
            <w:tcW w:w="117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2,085,364</w:t>
            </w:r>
          </w:p>
        </w:tc>
        <w:tc>
          <w:tcPr>
            <w:tcW w:w="135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3,668,355</w:t>
            </w:r>
          </w:p>
        </w:tc>
        <w:tc>
          <w:tcPr>
            <w:tcW w:w="126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1,840,181</w:t>
            </w:r>
          </w:p>
        </w:tc>
        <w:tc>
          <w:tcPr>
            <w:tcW w:w="126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2,844,134</w:t>
            </w:r>
          </w:p>
        </w:tc>
        <w:tc>
          <w:tcPr>
            <w:tcW w:w="90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NA</w:t>
            </w:r>
          </w:p>
        </w:tc>
        <w:tc>
          <w:tcPr>
            <w:tcW w:w="1170" w:type="dxa"/>
            <w:tcBorders>
              <w:top w:val="single" w:sz="4" w:space="0" w:color="000000"/>
              <w:left w:val="single" w:sz="4" w:space="0" w:color="000000"/>
              <w:bottom w:val="single" w:sz="4" w:space="0" w:color="000000"/>
              <w:right w:val="single" w:sz="4" w:space="0" w:color="000000"/>
            </w:tcBorders>
            <w:shd w:val="clear" w:color="auto" w:fill="C4BC96"/>
            <w:vAlign w:val="center"/>
          </w:tcPr>
          <w:p w:rsidR="00B42460" w:rsidRPr="009622FC" w:rsidRDefault="00B42460" w:rsidP="00B42460">
            <w:pPr>
              <w:spacing w:after="0"/>
              <w:jc w:val="center"/>
              <w:rPr>
                <w:rFonts w:ascii="Garamond" w:hAnsi="Garamond"/>
              </w:rPr>
            </w:pPr>
            <w:r w:rsidRPr="009622FC">
              <w:rPr>
                <w:rFonts w:ascii="Garamond" w:hAnsi="Garamond"/>
              </w:rPr>
              <w:t>976,972</w:t>
            </w:r>
          </w:p>
        </w:tc>
      </w:tr>
      <w:tr w:rsidR="00B42460" w:rsidRPr="009622FC">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Very critical land</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739,485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217,707</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16,124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325,357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NA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spacing w:after="0"/>
              <w:jc w:val="center"/>
              <w:rPr>
                <w:rFonts w:ascii="Garamond" w:hAnsi="Garamond"/>
              </w:rPr>
            </w:pPr>
            <w:r w:rsidRPr="009622FC">
              <w:rPr>
                <w:rFonts w:ascii="Garamond" w:hAnsi="Garamond"/>
              </w:rPr>
              <w:t>3,648,794</w:t>
            </w:r>
          </w:p>
        </w:tc>
      </w:tr>
    </w:tbl>
    <w:p w:rsidR="00B42460" w:rsidRPr="005418E1" w:rsidRDefault="000E0E55" w:rsidP="00B42460">
      <w:pPr>
        <w:pStyle w:val="CommentText"/>
        <w:spacing w:line="276" w:lineRule="auto"/>
        <w:jc w:val="both"/>
        <w:rPr>
          <w:rFonts w:ascii="Garamond" w:hAnsi="Garamond" w:cs="AGaramondPro-Regular"/>
        </w:rPr>
      </w:pPr>
      <w:r w:rsidRPr="005418E1">
        <w:rPr>
          <w:rFonts w:ascii="Garamond" w:hAnsi="Garamond" w:cs="AGaramondPro-Regular"/>
        </w:rPr>
        <w:t>Source</w:t>
      </w:r>
      <w:r w:rsidR="00B42460" w:rsidRPr="005418E1">
        <w:rPr>
          <w:rFonts w:ascii="Garamond" w:hAnsi="Garamond" w:cs="AGaramondPro-Regular"/>
        </w:rPr>
        <w:t>: Processed from many sources by Seknas FITRA</w:t>
      </w:r>
    </w:p>
    <w:p w:rsidR="00B42460" w:rsidRPr="009622FC" w:rsidRDefault="00B42460" w:rsidP="00B42460">
      <w:pPr>
        <w:pStyle w:val="CommentText"/>
        <w:spacing w:line="276" w:lineRule="auto"/>
        <w:jc w:val="both"/>
        <w:rPr>
          <w:rFonts w:ascii="Garamond" w:hAnsi="Garamond"/>
          <w:sz w:val="22"/>
          <w:szCs w:val="22"/>
        </w:rPr>
      </w:pPr>
      <w:r w:rsidRPr="009622FC">
        <w:rPr>
          <w:rFonts w:ascii="Garamond" w:hAnsi="Garamond" w:cs="AGaramondPro-Regular"/>
          <w:b/>
          <w:sz w:val="22"/>
          <w:szCs w:val="22"/>
        </w:rPr>
        <w:t xml:space="preserve">The critical land rehabilitation program has not yet become a priority program at the regional level. </w:t>
      </w:r>
      <w:r w:rsidRPr="009622FC">
        <w:rPr>
          <w:rFonts w:ascii="Garamond" w:hAnsi="Garamond" w:cs="AGaramondPro-Regular"/>
          <w:sz w:val="22"/>
          <w:szCs w:val="22"/>
        </w:rPr>
        <w:t xml:space="preserve">There </w:t>
      </w:r>
      <w:r w:rsidR="00FC4AA8" w:rsidRPr="009622FC">
        <w:rPr>
          <w:rFonts w:ascii="Garamond" w:hAnsi="Garamond" w:cs="AGaramondPro-Regular"/>
          <w:sz w:val="22"/>
          <w:szCs w:val="22"/>
        </w:rPr>
        <w:t>is</w:t>
      </w:r>
      <w:r w:rsidRPr="009622FC">
        <w:rPr>
          <w:rFonts w:ascii="Garamond" w:hAnsi="Garamond" w:cs="AGaramondPro-Regular"/>
          <w:sz w:val="22"/>
          <w:szCs w:val="22"/>
        </w:rPr>
        <w:t xml:space="preserve"> minimal information available related to</w:t>
      </w:r>
      <w:r w:rsidRPr="009622FC">
        <w:rPr>
          <w:rFonts w:ascii="Garamond" w:hAnsi="Garamond" w:cs="AGaramondPro-Regular"/>
          <w:b/>
          <w:sz w:val="22"/>
          <w:szCs w:val="22"/>
        </w:rPr>
        <w:t xml:space="preserve"> </w:t>
      </w:r>
      <w:r w:rsidRPr="009622FC">
        <w:rPr>
          <w:rFonts w:ascii="Garamond" w:hAnsi="Garamond" w:cs="AGaramondPro-Regular"/>
          <w:sz w:val="22"/>
          <w:szCs w:val="22"/>
        </w:rPr>
        <w:t xml:space="preserve">the area of critical land and regional governments’ programs to deal with it, </w:t>
      </w:r>
      <w:r w:rsidR="00FC4AA8" w:rsidRPr="009622FC">
        <w:rPr>
          <w:rFonts w:ascii="Garamond" w:hAnsi="Garamond" w:cs="AGaramondPro-Regular"/>
          <w:sz w:val="22"/>
          <w:szCs w:val="22"/>
        </w:rPr>
        <w:t>except in the case of East Kalimantan</w:t>
      </w:r>
      <w:r w:rsidRPr="009622FC">
        <w:rPr>
          <w:rFonts w:ascii="Garamond" w:hAnsi="Garamond" w:cs="AGaramondPro-Regular"/>
          <w:sz w:val="22"/>
          <w:szCs w:val="22"/>
        </w:rPr>
        <w:t xml:space="preserve">. In its 2013 Regional Government Work Plan (RKPD), East Kalimantan </w:t>
      </w:r>
      <w:r w:rsidR="00FC4AA8" w:rsidRPr="009622FC">
        <w:rPr>
          <w:rFonts w:ascii="Garamond" w:hAnsi="Garamond" w:cs="AGaramondPro-Regular"/>
          <w:sz w:val="22"/>
          <w:szCs w:val="22"/>
        </w:rPr>
        <w:t>announced its plans to rehabilitate</w:t>
      </w:r>
      <w:r w:rsidR="00FC4AA8" w:rsidRPr="009622FC">
        <w:rPr>
          <w:rFonts w:ascii="Garamond" w:hAnsi="Garamond"/>
          <w:sz w:val="22"/>
          <w:szCs w:val="22"/>
        </w:rPr>
        <w:t xml:space="preserve"> </w:t>
      </w:r>
      <w:r w:rsidRPr="009622FC">
        <w:rPr>
          <w:rFonts w:ascii="Garamond" w:hAnsi="Garamond"/>
          <w:sz w:val="22"/>
          <w:szCs w:val="22"/>
        </w:rPr>
        <w:t>10,000 Ha of critical land</w:t>
      </w:r>
      <w:r w:rsidRPr="009622FC">
        <w:rPr>
          <w:rStyle w:val="FootnoteReference"/>
          <w:rFonts w:ascii="Garamond" w:hAnsi="Garamond"/>
          <w:sz w:val="22"/>
          <w:szCs w:val="22"/>
        </w:rPr>
        <w:footnoteReference w:id="33"/>
      </w:r>
      <w:r w:rsidRPr="009622FC">
        <w:rPr>
          <w:rFonts w:ascii="Garamond" w:hAnsi="Garamond" w:cs="AGaramondPro-Regular"/>
          <w:sz w:val="22"/>
          <w:szCs w:val="22"/>
        </w:rPr>
        <w:t xml:space="preserve"> and </w:t>
      </w:r>
      <w:r w:rsidRPr="009622FC">
        <w:rPr>
          <w:rFonts w:ascii="Garamond" w:hAnsi="Garamond"/>
          <w:sz w:val="22"/>
          <w:szCs w:val="22"/>
        </w:rPr>
        <w:t>rehabilitation of 500 Ha of mangrove forest</w:t>
      </w:r>
      <w:r w:rsidRPr="009622FC">
        <w:rPr>
          <w:rFonts w:ascii="Garamond" w:hAnsi="Garamond" w:cs="AGaramondPro-Regular"/>
          <w:sz w:val="22"/>
          <w:szCs w:val="22"/>
        </w:rPr>
        <w:t xml:space="preserve"> per year. Judging from the existing condition of critical land, the target for this critical land rehabilitation is actually less than optimal, considering that in 2011 there was still 4.6 million Ha of critical land. Using the yearly target of 10,000 Ha, the actual time needed by the East Kalimantan </w:t>
      </w:r>
      <w:r w:rsidR="003E6557">
        <w:rPr>
          <w:rFonts w:ascii="Garamond" w:hAnsi="Garamond" w:cs="AGaramondPro-Regular"/>
          <w:sz w:val="22"/>
          <w:szCs w:val="22"/>
        </w:rPr>
        <w:t>provincial government to nomali</w:t>
      </w:r>
      <w:r w:rsidR="003E6557">
        <w:rPr>
          <w:rFonts w:ascii="Garamond" w:hAnsi="Garamond" w:cs="AGaramondPro-Regular"/>
          <w:sz w:val="22"/>
          <w:szCs w:val="22"/>
          <w:lang w:val="en-US"/>
        </w:rPr>
        <w:t>s</w:t>
      </w:r>
      <w:r w:rsidRPr="009622FC">
        <w:rPr>
          <w:rFonts w:ascii="Garamond" w:hAnsi="Garamond" w:cs="AGaramondPro-Regular"/>
          <w:sz w:val="22"/>
          <w:szCs w:val="22"/>
        </w:rPr>
        <w:t xml:space="preserve">e the condition of critical land would be </w:t>
      </w:r>
      <w:r w:rsidRPr="009622FC">
        <w:rPr>
          <w:rFonts w:ascii="Garamond" w:hAnsi="Garamond"/>
          <w:sz w:val="22"/>
          <w:szCs w:val="22"/>
        </w:rPr>
        <w:t>±</w:t>
      </w:r>
      <w:r w:rsidRPr="009622FC">
        <w:rPr>
          <w:rFonts w:ascii="Garamond" w:hAnsi="Garamond" w:cs="AGaramondPro-Regular"/>
          <w:sz w:val="22"/>
          <w:szCs w:val="22"/>
        </w:rPr>
        <w:t xml:space="preserve"> 462 years. </w:t>
      </w:r>
    </w:p>
    <w:p w:rsidR="00B42460" w:rsidRDefault="00B42460" w:rsidP="00B42460">
      <w:pPr>
        <w:pStyle w:val="CommentText"/>
        <w:spacing w:line="276" w:lineRule="auto"/>
        <w:jc w:val="both"/>
        <w:rPr>
          <w:rFonts w:ascii="Garamond" w:hAnsi="Garamond"/>
          <w:sz w:val="22"/>
          <w:szCs w:val="22"/>
          <w:lang w:val="en-US"/>
        </w:rPr>
      </w:pPr>
      <w:r w:rsidRPr="009622FC">
        <w:rPr>
          <w:rFonts w:ascii="Garamond" w:hAnsi="Garamond"/>
          <w:b/>
          <w:sz w:val="22"/>
          <w:szCs w:val="22"/>
        </w:rPr>
        <w:t xml:space="preserve">Public access to forest </w:t>
      </w:r>
      <w:r w:rsidR="005F2070" w:rsidRPr="009622FC">
        <w:rPr>
          <w:rFonts w:ascii="Garamond" w:hAnsi="Garamond"/>
          <w:b/>
          <w:sz w:val="22"/>
          <w:szCs w:val="22"/>
        </w:rPr>
        <w:t>management covers</w:t>
      </w:r>
      <w:r w:rsidRPr="009622FC">
        <w:rPr>
          <w:rFonts w:ascii="Garamond" w:hAnsi="Garamond"/>
          <w:b/>
          <w:sz w:val="22"/>
          <w:szCs w:val="22"/>
        </w:rPr>
        <w:t xml:space="preserve"> less than 5 percent of the total forest area. </w:t>
      </w:r>
      <w:r w:rsidR="003E6557">
        <w:rPr>
          <w:rFonts w:ascii="Garamond" w:hAnsi="Garamond"/>
          <w:sz w:val="22"/>
          <w:szCs w:val="22"/>
        </w:rPr>
        <w:t>Public access in the utili</w:t>
      </w:r>
      <w:r w:rsidR="003E6557">
        <w:rPr>
          <w:rFonts w:ascii="Garamond" w:hAnsi="Garamond"/>
          <w:sz w:val="22"/>
          <w:szCs w:val="22"/>
          <w:lang w:val="en-US"/>
        </w:rPr>
        <w:t>s</w:t>
      </w:r>
      <w:r w:rsidRPr="009622FC">
        <w:rPr>
          <w:rFonts w:ascii="Garamond" w:hAnsi="Garamond"/>
          <w:sz w:val="22"/>
          <w:szCs w:val="22"/>
        </w:rPr>
        <w:t xml:space="preserve">ation of forest resources and governance through community forest (HKm), village forest (HD) and community forest plantation (HTR) schemes has also been kept at a bare minimum compared to the area of Production Forest in its entirety. The percentage of HKm, HD and HTR area relative to the area </w:t>
      </w:r>
      <w:r w:rsidR="003E6557">
        <w:rPr>
          <w:rFonts w:ascii="Garamond" w:hAnsi="Garamond"/>
          <w:sz w:val="22"/>
          <w:szCs w:val="22"/>
        </w:rPr>
        <w:t>of production forest used/utili</w:t>
      </w:r>
      <w:r w:rsidR="003E6557">
        <w:rPr>
          <w:rFonts w:ascii="Garamond" w:hAnsi="Garamond"/>
          <w:sz w:val="22"/>
          <w:szCs w:val="22"/>
          <w:lang w:val="en-US"/>
        </w:rPr>
        <w:t>s</w:t>
      </w:r>
      <w:r w:rsidRPr="009622FC">
        <w:rPr>
          <w:rFonts w:ascii="Garamond" w:hAnsi="Garamond"/>
          <w:sz w:val="22"/>
          <w:szCs w:val="22"/>
        </w:rPr>
        <w:t>ed in West Kalimantan province is only 4.4 percent, while South Sumatra province allocates 2 percent. East Kalimantan’s HKm, HD and HTR area percentage relative to the productio</w:t>
      </w:r>
      <w:r w:rsidR="003E6557">
        <w:rPr>
          <w:rFonts w:ascii="Garamond" w:hAnsi="Garamond"/>
          <w:sz w:val="22"/>
          <w:szCs w:val="22"/>
        </w:rPr>
        <w:t>n forest area under usage/utili</w:t>
      </w:r>
      <w:r w:rsidR="003E6557">
        <w:rPr>
          <w:rFonts w:ascii="Garamond" w:hAnsi="Garamond"/>
          <w:sz w:val="22"/>
          <w:szCs w:val="22"/>
          <w:lang w:val="en-US"/>
        </w:rPr>
        <w:t>s</w:t>
      </w:r>
      <w:r w:rsidRPr="009622FC">
        <w:rPr>
          <w:rFonts w:ascii="Garamond" w:hAnsi="Garamond"/>
          <w:sz w:val="22"/>
          <w:szCs w:val="22"/>
        </w:rPr>
        <w:t>ation is less than 1 percent, at only 0.04 percent. This minimum amount of forest area for HKm, HD and HTR indicates tha</w:t>
      </w:r>
      <w:r w:rsidR="003E6557">
        <w:rPr>
          <w:rFonts w:ascii="Garamond" w:hAnsi="Garamond"/>
          <w:sz w:val="22"/>
          <w:szCs w:val="22"/>
        </w:rPr>
        <w:t>t the government still prioriti</w:t>
      </w:r>
      <w:r w:rsidR="003E6557">
        <w:rPr>
          <w:rFonts w:ascii="Garamond" w:hAnsi="Garamond"/>
          <w:sz w:val="22"/>
          <w:szCs w:val="22"/>
          <w:lang w:val="en-US"/>
        </w:rPr>
        <w:t>s</w:t>
      </w:r>
      <w:r w:rsidRPr="009622FC">
        <w:rPr>
          <w:rFonts w:ascii="Garamond" w:hAnsi="Garamond"/>
          <w:sz w:val="22"/>
          <w:szCs w:val="22"/>
        </w:rPr>
        <w:t xml:space="preserve">es corporate and industrial interests over those of the local community </w:t>
      </w:r>
      <w:r w:rsidR="003E6557">
        <w:rPr>
          <w:rFonts w:ascii="Garamond" w:hAnsi="Garamond"/>
          <w:sz w:val="22"/>
          <w:szCs w:val="22"/>
        </w:rPr>
        <w:t>in granting access to the utili</w:t>
      </w:r>
      <w:r w:rsidR="003E6557">
        <w:rPr>
          <w:rFonts w:ascii="Garamond" w:hAnsi="Garamond"/>
          <w:sz w:val="22"/>
          <w:szCs w:val="22"/>
          <w:lang w:val="en-US"/>
        </w:rPr>
        <w:t>s</w:t>
      </w:r>
      <w:r w:rsidRPr="009622FC">
        <w:rPr>
          <w:rFonts w:ascii="Garamond" w:hAnsi="Garamond"/>
          <w:sz w:val="22"/>
          <w:szCs w:val="22"/>
        </w:rPr>
        <w:t xml:space="preserve">ation and </w:t>
      </w:r>
      <w:r w:rsidR="005F2070" w:rsidRPr="009622FC">
        <w:rPr>
          <w:rFonts w:ascii="Garamond" w:hAnsi="Garamond"/>
          <w:sz w:val="22"/>
          <w:szCs w:val="22"/>
        </w:rPr>
        <w:t>management</w:t>
      </w:r>
      <w:r w:rsidRPr="009622FC">
        <w:rPr>
          <w:rFonts w:ascii="Garamond" w:hAnsi="Garamond"/>
          <w:sz w:val="22"/>
          <w:szCs w:val="22"/>
        </w:rPr>
        <w:t xml:space="preserve"> of resources.</w:t>
      </w:r>
    </w:p>
    <w:p w:rsidR="00EE6790" w:rsidRDefault="00EE6790" w:rsidP="00B42460">
      <w:pPr>
        <w:pStyle w:val="CommentText"/>
        <w:spacing w:line="276" w:lineRule="auto"/>
        <w:jc w:val="both"/>
        <w:rPr>
          <w:rFonts w:ascii="Garamond" w:hAnsi="Garamond"/>
          <w:sz w:val="22"/>
          <w:szCs w:val="22"/>
          <w:lang w:val="en-US"/>
        </w:rPr>
      </w:pPr>
    </w:p>
    <w:p w:rsidR="00EE6790" w:rsidRDefault="00EE6790" w:rsidP="00B42460">
      <w:pPr>
        <w:pStyle w:val="CommentText"/>
        <w:spacing w:line="276" w:lineRule="auto"/>
        <w:jc w:val="both"/>
        <w:rPr>
          <w:rFonts w:ascii="Garamond" w:hAnsi="Garamond"/>
          <w:sz w:val="22"/>
          <w:szCs w:val="22"/>
          <w:lang w:val="en-US"/>
        </w:rPr>
      </w:pPr>
    </w:p>
    <w:p w:rsidR="00EE6790" w:rsidRDefault="00EE6790" w:rsidP="00B42460">
      <w:pPr>
        <w:pStyle w:val="CommentText"/>
        <w:spacing w:line="276" w:lineRule="auto"/>
        <w:jc w:val="both"/>
        <w:rPr>
          <w:rFonts w:ascii="Garamond" w:hAnsi="Garamond"/>
          <w:sz w:val="22"/>
          <w:szCs w:val="22"/>
          <w:lang w:val="en-US"/>
        </w:rPr>
      </w:pPr>
    </w:p>
    <w:p w:rsidR="00EE6790" w:rsidRDefault="00EE6790" w:rsidP="00B42460">
      <w:pPr>
        <w:pStyle w:val="CommentText"/>
        <w:spacing w:line="276" w:lineRule="auto"/>
        <w:jc w:val="both"/>
        <w:rPr>
          <w:rFonts w:ascii="Garamond" w:hAnsi="Garamond"/>
          <w:sz w:val="22"/>
          <w:szCs w:val="22"/>
          <w:lang w:val="en-US"/>
        </w:rPr>
      </w:pPr>
    </w:p>
    <w:p w:rsidR="00EE6790" w:rsidRDefault="00EE6790" w:rsidP="00B42460">
      <w:pPr>
        <w:pStyle w:val="CommentText"/>
        <w:spacing w:line="276" w:lineRule="auto"/>
        <w:jc w:val="both"/>
        <w:rPr>
          <w:rFonts w:ascii="Garamond" w:hAnsi="Garamond"/>
          <w:sz w:val="22"/>
          <w:szCs w:val="22"/>
          <w:lang w:val="en-US"/>
        </w:rPr>
      </w:pPr>
    </w:p>
    <w:p w:rsidR="00EE6790" w:rsidRDefault="00EE6790" w:rsidP="00B42460">
      <w:pPr>
        <w:pStyle w:val="CommentText"/>
        <w:spacing w:line="276" w:lineRule="auto"/>
        <w:jc w:val="both"/>
        <w:rPr>
          <w:rFonts w:ascii="Garamond" w:hAnsi="Garamond"/>
          <w:sz w:val="22"/>
          <w:szCs w:val="22"/>
          <w:lang w:val="en-US"/>
        </w:rPr>
      </w:pPr>
    </w:p>
    <w:p w:rsidR="00EE6790" w:rsidRPr="00EE6790" w:rsidRDefault="00EE6790" w:rsidP="00B42460">
      <w:pPr>
        <w:pStyle w:val="CommentText"/>
        <w:spacing w:line="276" w:lineRule="auto"/>
        <w:jc w:val="both"/>
        <w:rPr>
          <w:rFonts w:ascii="Garamond" w:hAnsi="Garamond"/>
          <w:sz w:val="22"/>
          <w:szCs w:val="22"/>
          <w:lang w:val="en-US"/>
        </w:rPr>
      </w:pPr>
    </w:p>
    <w:p w:rsidR="00B42460" w:rsidRDefault="00B42460" w:rsidP="00B42460">
      <w:pPr>
        <w:autoSpaceDE w:val="0"/>
        <w:autoSpaceDN w:val="0"/>
        <w:adjustRightInd w:val="0"/>
        <w:spacing w:after="0"/>
        <w:jc w:val="center"/>
        <w:rPr>
          <w:rFonts w:ascii="Garamond" w:hAnsi="Garamond"/>
          <w:b/>
          <w:lang w:val="en-US"/>
        </w:rPr>
      </w:pPr>
      <w:r w:rsidRPr="009622FC">
        <w:rPr>
          <w:rFonts w:ascii="Garamond" w:hAnsi="Garamond"/>
          <w:b/>
        </w:rPr>
        <w:lastRenderedPageBreak/>
        <w:t xml:space="preserve">Table 2.10 Area </w:t>
      </w:r>
      <w:r w:rsidR="005418E1">
        <w:rPr>
          <w:rFonts w:ascii="Garamond" w:hAnsi="Garamond"/>
          <w:b/>
        </w:rPr>
        <w:t>of Production Forest Land Utili</w:t>
      </w:r>
      <w:r w:rsidR="005418E1">
        <w:rPr>
          <w:rFonts w:ascii="Garamond" w:hAnsi="Garamond"/>
          <w:b/>
          <w:lang w:val="en-US"/>
        </w:rPr>
        <w:t>s</w:t>
      </w:r>
      <w:r w:rsidRPr="009622FC">
        <w:rPr>
          <w:rFonts w:ascii="Garamond" w:hAnsi="Garamond"/>
          <w:b/>
        </w:rPr>
        <w:t>ed</w:t>
      </w:r>
    </w:p>
    <w:p w:rsidR="005418E1" w:rsidRPr="005418E1" w:rsidRDefault="005418E1" w:rsidP="00B42460">
      <w:pPr>
        <w:autoSpaceDE w:val="0"/>
        <w:autoSpaceDN w:val="0"/>
        <w:adjustRightInd w:val="0"/>
        <w:spacing w:after="0"/>
        <w:jc w:val="center"/>
        <w:rPr>
          <w:rFonts w:ascii="Garamond" w:hAnsi="Garamond"/>
          <w:b/>
          <w:lang w:val="en-US"/>
        </w:rPr>
      </w:pPr>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7"/>
        <w:gridCol w:w="1848"/>
        <w:gridCol w:w="2166"/>
        <w:gridCol w:w="1849"/>
      </w:tblGrid>
      <w:tr w:rsidR="00B42460" w:rsidRPr="009622FC">
        <w:trPr>
          <w:jc w:val="center"/>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E36C0A"/>
            <w:vAlign w:val="center"/>
          </w:tcPr>
          <w:p w:rsidR="00B42460" w:rsidRPr="009622FC" w:rsidRDefault="00B42460" w:rsidP="00B42460">
            <w:pPr>
              <w:autoSpaceDE w:val="0"/>
              <w:autoSpaceDN w:val="0"/>
              <w:adjustRightInd w:val="0"/>
              <w:spacing w:after="0"/>
              <w:rPr>
                <w:rFonts w:ascii="Garamond" w:hAnsi="Garamond" w:cs="Calibri"/>
                <w:b/>
              </w:rPr>
            </w:pPr>
            <w:r w:rsidRPr="009622FC">
              <w:rPr>
                <w:rFonts w:ascii="Garamond" w:hAnsi="Garamond"/>
                <w:b/>
              </w:rPr>
              <w:t xml:space="preserve">Area </w:t>
            </w:r>
            <w:r w:rsidR="003E6557">
              <w:rPr>
                <w:rFonts w:ascii="Garamond" w:hAnsi="Garamond"/>
                <w:b/>
              </w:rPr>
              <w:t>of Production Forest Land Utili</w:t>
            </w:r>
            <w:r w:rsidR="003E6557">
              <w:rPr>
                <w:rFonts w:ascii="Garamond" w:hAnsi="Garamond"/>
                <w:b/>
                <w:lang w:val="en-US"/>
              </w:rPr>
              <w:t>s</w:t>
            </w:r>
            <w:r w:rsidRPr="009622FC">
              <w:rPr>
                <w:rFonts w:ascii="Garamond" w:hAnsi="Garamond"/>
                <w:b/>
              </w:rPr>
              <w:t>ed (issued SK)</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5F2070" w:rsidP="00B42460">
            <w:pPr>
              <w:pStyle w:val="CommentText"/>
              <w:spacing w:after="0" w:line="276" w:lineRule="auto"/>
              <w:jc w:val="center"/>
              <w:rPr>
                <w:rFonts w:ascii="Garamond" w:hAnsi="Garamond"/>
                <w:b/>
                <w:sz w:val="22"/>
                <w:szCs w:val="22"/>
                <w:lang w:bidi="pt-PT"/>
              </w:rPr>
            </w:pPr>
            <w:r w:rsidRPr="009622FC">
              <w:rPr>
                <w:rFonts w:ascii="Garamond" w:hAnsi="Garamond"/>
                <w:b/>
                <w:sz w:val="22"/>
                <w:szCs w:val="22"/>
                <w:lang w:bidi="pt-PT"/>
              </w:rPr>
              <w:t>Type of Permit</w:t>
            </w:r>
          </w:p>
        </w:tc>
        <w:tc>
          <w:tcPr>
            <w:tcW w:w="184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pStyle w:val="CommentText"/>
              <w:spacing w:after="0" w:line="276" w:lineRule="auto"/>
              <w:jc w:val="center"/>
              <w:rPr>
                <w:rFonts w:ascii="Garamond" w:hAnsi="Garamond"/>
                <w:b/>
                <w:sz w:val="22"/>
                <w:szCs w:val="22"/>
                <w:lang w:bidi="pt-PT"/>
              </w:rPr>
            </w:pPr>
            <w:r w:rsidRPr="009622FC">
              <w:rPr>
                <w:rFonts w:ascii="Garamond" w:hAnsi="Garamond"/>
                <w:b/>
                <w:sz w:val="22"/>
                <w:szCs w:val="22"/>
                <w:lang w:bidi="pt-PT"/>
              </w:rPr>
              <w:t>South Sumatra</w:t>
            </w:r>
          </w:p>
        </w:tc>
        <w:tc>
          <w:tcPr>
            <w:tcW w:w="216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pStyle w:val="CommentText"/>
              <w:spacing w:after="0" w:line="276" w:lineRule="auto"/>
              <w:jc w:val="center"/>
              <w:rPr>
                <w:rFonts w:ascii="Garamond" w:hAnsi="Garamond"/>
                <w:b/>
                <w:sz w:val="22"/>
                <w:szCs w:val="22"/>
                <w:lang w:bidi="pt-PT"/>
              </w:rPr>
            </w:pPr>
            <w:r w:rsidRPr="009622FC">
              <w:rPr>
                <w:rFonts w:ascii="Garamond" w:hAnsi="Garamond"/>
                <w:b/>
                <w:sz w:val="22"/>
                <w:szCs w:val="22"/>
                <w:lang w:bidi="pt-PT"/>
              </w:rPr>
              <w:t>East Kalimantan</w:t>
            </w:r>
          </w:p>
        </w:tc>
        <w:tc>
          <w:tcPr>
            <w:tcW w:w="184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42460" w:rsidRPr="009622FC" w:rsidRDefault="00B42460" w:rsidP="00B42460">
            <w:pPr>
              <w:pStyle w:val="CommentText"/>
              <w:spacing w:after="0" w:line="276" w:lineRule="auto"/>
              <w:jc w:val="center"/>
              <w:rPr>
                <w:rFonts w:ascii="Garamond" w:hAnsi="Garamond"/>
                <w:b/>
                <w:sz w:val="22"/>
                <w:szCs w:val="22"/>
                <w:lang w:bidi="pt-PT"/>
              </w:rPr>
            </w:pPr>
            <w:r w:rsidRPr="009622FC">
              <w:rPr>
                <w:rFonts w:ascii="Garamond" w:hAnsi="Garamond"/>
                <w:b/>
                <w:sz w:val="22"/>
                <w:szCs w:val="22"/>
                <w:lang w:bidi="pt-PT"/>
              </w:rPr>
              <w:t>West Kalimantan</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IUPHHK-HA</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56,000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5,550,942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1,157,655 Ha</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IUPHHK-HTI</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1,396,312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1,730,768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1,747,116 Ha</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IUPHHK-RE</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52,170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100,530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 xml:space="preserve">HTR Area Reservation/Designation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42,605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2,090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40,690 Ha</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HKM Area Reservation/Designation</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1,400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78,465 Ha</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 xml:space="preserve">HD Working Area Reservation/Designation </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7,250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14,325 Ha</w:t>
            </w:r>
          </w:p>
        </w:tc>
      </w:tr>
      <w:tr w:rsidR="00B42460" w:rsidRPr="009622FC">
        <w:trPr>
          <w:trHeight w:val="327"/>
          <w:jc w:val="center"/>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E36C0A"/>
            <w:vAlign w:val="center"/>
          </w:tcPr>
          <w:p w:rsidR="00B42460" w:rsidRPr="009622FC" w:rsidRDefault="00B42460" w:rsidP="00B42460">
            <w:pPr>
              <w:pStyle w:val="CommentText"/>
              <w:spacing w:after="0" w:line="276" w:lineRule="auto"/>
              <w:rPr>
                <w:rFonts w:ascii="Garamond" w:hAnsi="Garamond"/>
                <w:b/>
                <w:sz w:val="22"/>
                <w:szCs w:val="22"/>
                <w:lang w:bidi="pt-PT"/>
              </w:rPr>
            </w:pPr>
            <w:r w:rsidRPr="009622FC">
              <w:rPr>
                <w:rFonts w:ascii="Garamond" w:hAnsi="Garamond"/>
                <w:b/>
                <w:sz w:val="22"/>
                <w:szCs w:val="22"/>
                <w:lang w:bidi="pt-PT"/>
              </w:rPr>
              <w:t>Area of Forest Land in the Application/Licensing Process</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Process of Application for IUPHHK-HTI</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68,227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82,112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651,033 Ha</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Process of Application for IUPHHK-HA</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911,533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259,004 Ha</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Process of Application for IUPHHK-RE</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44,280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Process of Application for HTR Area Reservation</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5,435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36,570 Ha</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Process of Application for HKM Area Reservation</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autoSpaceDE w:val="0"/>
              <w:autoSpaceDN w:val="0"/>
              <w:adjustRightInd w:val="0"/>
              <w:spacing w:after="0"/>
              <w:jc w:val="right"/>
              <w:rPr>
                <w:rFonts w:ascii="Garamond" w:hAnsi="Garamond" w:cs="Verdana"/>
              </w:rPr>
            </w:pPr>
            <w:r w:rsidRPr="009622FC">
              <w:rPr>
                <w:rFonts w:ascii="Garamond" w:hAnsi="Garamond" w:cs="Verdana"/>
              </w:rPr>
              <w:t>467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r>
      <w:tr w:rsidR="00B42460" w:rsidRPr="009622FC">
        <w:trPr>
          <w:jc w:val="center"/>
        </w:trPr>
        <w:tc>
          <w:tcPr>
            <w:tcW w:w="4667" w:type="dxa"/>
            <w:tcBorders>
              <w:top w:val="single" w:sz="4" w:space="0" w:color="000000"/>
              <w:left w:val="single" w:sz="4" w:space="0" w:color="000000"/>
              <w:bottom w:val="single" w:sz="4" w:space="0" w:color="000000"/>
              <w:right w:val="single" w:sz="4" w:space="0" w:color="000000"/>
            </w:tcBorders>
            <w:shd w:val="clear" w:color="auto" w:fill="FBD4B4"/>
          </w:tcPr>
          <w:p w:rsidR="00B42460" w:rsidRPr="009622FC" w:rsidRDefault="00B42460" w:rsidP="00B42460">
            <w:pPr>
              <w:autoSpaceDE w:val="0"/>
              <w:autoSpaceDN w:val="0"/>
              <w:adjustRightInd w:val="0"/>
              <w:spacing w:after="0"/>
              <w:rPr>
                <w:rFonts w:ascii="Garamond" w:hAnsi="Garamond" w:cs="Calibri"/>
              </w:rPr>
            </w:pPr>
            <w:r w:rsidRPr="009622FC">
              <w:rPr>
                <w:rFonts w:ascii="Garamond" w:hAnsi="Garamond"/>
              </w:rPr>
              <w:t>Process of Application for HD Area Reservation</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Verdana"/>
              </w:rPr>
            </w:pPr>
            <w:r w:rsidRPr="009622FC">
              <w:rPr>
                <w:rFonts w:ascii="Garamond" w:hAnsi="Garamond" w:cs="Verdana"/>
              </w:rPr>
              <w:t>16,070 Ha</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pStyle w:val="CommentText"/>
              <w:spacing w:after="0" w:line="276" w:lineRule="auto"/>
              <w:jc w:val="center"/>
              <w:rPr>
                <w:rFonts w:ascii="Garamond" w:hAnsi="Garamond"/>
                <w:sz w:val="22"/>
                <w:szCs w:val="22"/>
                <w:lang w:bidi="pt-PT"/>
              </w:rPr>
            </w:pPr>
            <w:r w:rsidRPr="009622FC">
              <w:rPr>
                <w:rFonts w:ascii="Garamond" w:hAnsi="Garamond"/>
                <w:sz w:val="22"/>
                <w:szCs w:val="22"/>
                <w:lang w:bidi="pt-PT"/>
              </w:rPr>
              <w:t>-</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42460" w:rsidRPr="009622FC" w:rsidRDefault="00B42460" w:rsidP="00B42460">
            <w:pPr>
              <w:autoSpaceDE w:val="0"/>
              <w:autoSpaceDN w:val="0"/>
              <w:adjustRightInd w:val="0"/>
              <w:spacing w:after="0"/>
              <w:jc w:val="center"/>
              <w:rPr>
                <w:rFonts w:ascii="Garamond" w:hAnsi="Garamond" w:cs="Verdana"/>
              </w:rPr>
            </w:pPr>
            <w:r w:rsidRPr="009622FC">
              <w:rPr>
                <w:rFonts w:ascii="Garamond" w:hAnsi="Garamond" w:cs="Verdana"/>
              </w:rPr>
              <w:t>30,000 Ha</w:t>
            </w:r>
          </w:p>
        </w:tc>
      </w:tr>
    </w:tbl>
    <w:p w:rsidR="00B42460" w:rsidRPr="005418E1" w:rsidRDefault="00B42460" w:rsidP="005418E1">
      <w:pPr>
        <w:pStyle w:val="CommentText"/>
        <w:spacing w:line="276" w:lineRule="auto"/>
        <w:ind w:left="-720"/>
        <w:rPr>
          <w:rFonts w:ascii="Garamond" w:hAnsi="Garamond"/>
        </w:rPr>
      </w:pPr>
      <w:r w:rsidRPr="005418E1">
        <w:rPr>
          <w:rFonts w:ascii="Garamond" w:hAnsi="Garamond"/>
        </w:rPr>
        <w:t>S</w:t>
      </w:r>
      <w:r w:rsidR="000E0E55" w:rsidRPr="005418E1">
        <w:rPr>
          <w:rFonts w:ascii="Garamond" w:hAnsi="Garamond"/>
        </w:rPr>
        <w:t>ource</w:t>
      </w:r>
      <w:r w:rsidRPr="005418E1">
        <w:rPr>
          <w:rFonts w:ascii="Garamond" w:hAnsi="Garamond"/>
        </w:rPr>
        <w:t>: Data and Information on Forest Use, 2011, Regional directorate for the management and preparation of forest use areas, Directorate General of Planning, Forestry Ministry</w:t>
      </w:r>
    </w:p>
    <w:p w:rsidR="00B42460" w:rsidRPr="009622FC" w:rsidRDefault="00B42460" w:rsidP="00B42460">
      <w:pPr>
        <w:jc w:val="both"/>
        <w:rPr>
          <w:rFonts w:ascii="Garamond" w:hAnsi="Garamond"/>
          <w:b/>
        </w:rPr>
      </w:pPr>
      <w:r w:rsidRPr="009622FC">
        <w:rPr>
          <w:rFonts w:ascii="Garamond" w:hAnsi="Garamond"/>
          <w:b/>
        </w:rPr>
        <w:t>MP3EI accelerates deforestation</w:t>
      </w:r>
      <w:r w:rsidRPr="009622FC">
        <w:rPr>
          <w:rFonts w:ascii="Garamond" w:hAnsi="Garamond"/>
        </w:rPr>
        <w:t>. In order to accelerate the process of development equity through Presidential Regulation (PePres) No. 32/2011, the central government enacted the Master Plan for the Acceleration and Expansion of Indonesia’s Economic Development (MP3EI) 2011-2025 as a long-term economic development plan in Indonesia through</w:t>
      </w:r>
      <w:r w:rsidR="005F2070" w:rsidRPr="009622FC">
        <w:rPr>
          <w:rFonts w:ascii="Garamond" w:hAnsi="Garamond"/>
        </w:rPr>
        <w:t xml:space="preserve"> the establishment of economic “corridors”</w:t>
      </w:r>
      <w:r w:rsidRPr="009622FC">
        <w:rPr>
          <w:rFonts w:ascii="Garamond" w:hAnsi="Garamond"/>
        </w:rPr>
        <w:t xml:space="preserve">. </w:t>
      </w:r>
      <w:r w:rsidRPr="009622FC">
        <w:rPr>
          <w:rFonts w:ascii="Garamond" w:hAnsi="Garamond" w:cs="AGaramondPro-Regular"/>
        </w:rPr>
        <w:t>MP3EI aims to accelerate and expand Indonesia's economic development through developing centers of economic growth. As a national policy, MP3EI has a big impact on regional governments. The establishment of corridors and development themes has ensured that regional governments focus their economic development on the basis of growth consistent with a predetermined theme. The problem is that this growth policy un</w:t>
      </w:r>
      <w:r w:rsidR="003E6557">
        <w:rPr>
          <w:rFonts w:ascii="Garamond" w:hAnsi="Garamond" w:cs="AGaramondPro-Regular"/>
        </w:rPr>
        <w:t>der the MP3EI scheme has legali</w:t>
      </w:r>
      <w:r w:rsidR="003E6557">
        <w:rPr>
          <w:rFonts w:ascii="Garamond" w:hAnsi="Garamond" w:cs="AGaramondPro-Regular"/>
          <w:lang w:val="en-US"/>
        </w:rPr>
        <w:t>s</w:t>
      </w:r>
      <w:r w:rsidRPr="009622FC">
        <w:rPr>
          <w:rFonts w:ascii="Garamond" w:hAnsi="Garamond" w:cs="AGaramondPro-Regular"/>
        </w:rPr>
        <w:t xml:space="preserve">ed deforestation and land and forest degradation in the regions, as illustrated in the division of corridors below: </w:t>
      </w:r>
    </w:p>
    <w:p w:rsidR="00B42460" w:rsidRPr="009622FC" w:rsidRDefault="00B42460" w:rsidP="00B42460">
      <w:pPr>
        <w:pStyle w:val="ListParagraph"/>
        <w:numPr>
          <w:ilvl w:val="1"/>
          <w:numId w:val="46"/>
        </w:numPr>
        <w:ind w:left="851" w:hanging="425"/>
        <w:jc w:val="both"/>
        <w:rPr>
          <w:rFonts w:ascii="Garamond" w:hAnsi="Garamond" w:cs="AGaramondPro-Regular"/>
        </w:rPr>
      </w:pPr>
      <w:r w:rsidRPr="009622FC">
        <w:rPr>
          <w:rFonts w:ascii="Garamond" w:hAnsi="Garamond" w:cs="AGaramondPro-Regular"/>
          <w:b/>
        </w:rPr>
        <w:t>The Sumatra Economic Corridor</w:t>
      </w:r>
      <w:r w:rsidRPr="009622FC">
        <w:rPr>
          <w:rFonts w:ascii="Garamond" w:hAnsi="Garamond" w:cs="AGaramondPro-Regular"/>
        </w:rPr>
        <w:t xml:space="preserve"> has a development theme of "National Production and Processing Center for Agricultural Produce and Energy Storage”;</w:t>
      </w:r>
    </w:p>
    <w:p w:rsidR="00B42460" w:rsidRPr="009622FC" w:rsidRDefault="00B42460" w:rsidP="00B42460">
      <w:pPr>
        <w:pStyle w:val="ListParagraph"/>
        <w:numPr>
          <w:ilvl w:val="1"/>
          <w:numId w:val="46"/>
        </w:numPr>
        <w:ind w:left="851" w:hanging="425"/>
        <w:jc w:val="both"/>
        <w:rPr>
          <w:rFonts w:ascii="Garamond" w:hAnsi="Garamond" w:cs="AGaramondPro-Regular"/>
        </w:rPr>
      </w:pPr>
      <w:r w:rsidRPr="009622FC">
        <w:rPr>
          <w:rFonts w:ascii="Garamond" w:hAnsi="Garamond" w:cs="AGaramondPro-Regular"/>
          <w:b/>
        </w:rPr>
        <w:t>The Java Economic Corridor</w:t>
      </w:r>
      <w:r w:rsidRPr="009622FC">
        <w:rPr>
          <w:rFonts w:ascii="Garamond" w:hAnsi="Garamond" w:cs="AGaramondPro-Regular"/>
        </w:rPr>
        <w:t xml:space="preserve"> has a development theme of “National Driver of Industry and Services”;</w:t>
      </w:r>
    </w:p>
    <w:p w:rsidR="00B42460" w:rsidRPr="009622FC" w:rsidRDefault="00B42460" w:rsidP="00B42460">
      <w:pPr>
        <w:pStyle w:val="ListParagraph"/>
        <w:numPr>
          <w:ilvl w:val="1"/>
          <w:numId w:val="46"/>
        </w:numPr>
        <w:ind w:left="851" w:hanging="425"/>
        <w:jc w:val="both"/>
        <w:rPr>
          <w:rFonts w:ascii="Garamond" w:hAnsi="Garamond" w:cs="AGaramondPro-Regular"/>
        </w:rPr>
      </w:pPr>
      <w:r w:rsidRPr="009622FC">
        <w:rPr>
          <w:rFonts w:ascii="Garamond" w:hAnsi="Garamond" w:cs="AGaramondPro-Regular"/>
          <w:b/>
        </w:rPr>
        <w:t>The Kalimantan Economic Corridor</w:t>
      </w:r>
      <w:r w:rsidRPr="009622FC">
        <w:rPr>
          <w:rFonts w:ascii="Garamond" w:hAnsi="Garamond" w:cs="AGaramondPro-Regular"/>
        </w:rPr>
        <w:t xml:space="preserve"> has a development theme of “National Production and Processing Center for Mining Products and Energy Storage”;</w:t>
      </w:r>
    </w:p>
    <w:p w:rsidR="00B42460" w:rsidRPr="009622FC" w:rsidRDefault="00B42460" w:rsidP="00B42460">
      <w:pPr>
        <w:pStyle w:val="ListParagraph"/>
        <w:numPr>
          <w:ilvl w:val="1"/>
          <w:numId w:val="46"/>
        </w:numPr>
        <w:ind w:left="851" w:hanging="425"/>
        <w:jc w:val="both"/>
        <w:rPr>
          <w:rFonts w:ascii="Garamond" w:hAnsi="Garamond" w:cs="AGaramondPro-Regular"/>
        </w:rPr>
      </w:pPr>
      <w:r w:rsidRPr="009622FC">
        <w:rPr>
          <w:rFonts w:ascii="Garamond" w:hAnsi="Garamond" w:cs="AGaramondPro-Regular"/>
          <w:b/>
        </w:rPr>
        <w:t>The Sulawesi Economic Corridor</w:t>
      </w:r>
      <w:r w:rsidRPr="009622FC">
        <w:rPr>
          <w:rFonts w:ascii="Garamond" w:hAnsi="Garamond" w:cs="AGaramondPro-Regular"/>
        </w:rPr>
        <w:t xml:space="preserve"> has a development theme of “National Production and Processing Center for Agricultural, Plantation, Fishery, Oil and Gas, and Mining Products”;</w:t>
      </w:r>
    </w:p>
    <w:p w:rsidR="00B42460" w:rsidRPr="009622FC" w:rsidRDefault="00B42460" w:rsidP="00B42460">
      <w:pPr>
        <w:pStyle w:val="ListParagraph"/>
        <w:numPr>
          <w:ilvl w:val="1"/>
          <w:numId w:val="46"/>
        </w:numPr>
        <w:ind w:left="851" w:hanging="425"/>
        <w:jc w:val="both"/>
        <w:rPr>
          <w:rFonts w:ascii="Garamond" w:hAnsi="Garamond" w:cs="AGaramondPro-Regular"/>
        </w:rPr>
      </w:pPr>
      <w:r w:rsidRPr="009622FC">
        <w:rPr>
          <w:rFonts w:ascii="Garamond" w:hAnsi="Garamond"/>
          <w:b/>
        </w:rPr>
        <w:t>The Bali- Nusa Tenggara Economic Corridor</w:t>
      </w:r>
      <w:r w:rsidRPr="009622FC">
        <w:rPr>
          <w:rFonts w:ascii="Garamond" w:hAnsi="Garamond"/>
        </w:rPr>
        <w:t xml:space="preserve"> has a development theme of ‘’National Gateway to Tourism and Food Crop Support’’;</w:t>
      </w:r>
    </w:p>
    <w:p w:rsidR="00B42460" w:rsidRPr="009622FC" w:rsidRDefault="00B42460" w:rsidP="00B42460">
      <w:pPr>
        <w:pStyle w:val="ListParagraph"/>
        <w:numPr>
          <w:ilvl w:val="1"/>
          <w:numId w:val="46"/>
        </w:numPr>
        <w:ind w:left="851" w:hanging="425"/>
        <w:jc w:val="both"/>
        <w:rPr>
          <w:rFonts w:ascii="Garamond" w:hAnsi="Garamond" w:cs="AGaramondPro-Regular"/>
        </w:rPr>
      </w:pPr>
      <w:r w:rsidRPr="009622FC">
        <w:rPr>
          <w:rFonts w:ascii="Garamond" w:hAnsi="Garamond"/>
          <w:b/>
        </w:rPr>
        <w:t>The Papua-Maluku Islands Economic Corridor</w:t>
      </w:r>
      <w:r w:rsidRPr="009622FC">
        <w:rPr>
          <w:rFonts w:ascii="Garamond" w:hAnsi="Garamond"/>
        </w:rPr>
        <w:t xml:space="preserve"> has a development theme of “National Center for the Development of Food Crops, Fisheries, Energy and Mining”.</w:t>
      </w:r>
    </w:p>
    <w:p w:rsidR="00B42460" w:rsidRPr="009622FC" w:rsidRDefault="00B42460" w:rsidP="00B42460">
      <w:pPr>
        <w:jc w:val="both"/>
        <w:rPr>
          <w:rFonts w:ascii="Garamond" w:hAnsi="Garamond" w:cs="AGaramondPro-Regular"/>
        </w:rPr>
      </w:pPr>
      <w:r w:rsidRPr="009622FC">
        <w:rPr>
          <w:rFonts w:ascii="Garamond" w:hAnsi="Garamond" w:cs="AGaramondPro-Regular"/>
        </w:rPr>
        <w:t>As a planning policy, MP3EI does not just serve as a policy scheme for distribution of regional economic growth, it is also a blueprint for investors for exploitation of natural resources on a more massive scale. Despite the consideration of environment-based sustainable development under the MP</w:t>
      </w:r>
      <w:r w:rsidR="00F272D8" w:rsidRPr="009622FC">
        <w:rPr>
          <w:rFonts w:ascii="Garamond" w:hAnsi="Garamond" w:cs="AGaramondPro-Regular"/>
        </w:rPr>
        <w:t>3EI scheme, the government has failed</w:t>
      </w:r>
      <w:r w:rsidRPr="009622FC">
        <w:rPr>
          <w:rFonts w:ascii="Garamond" w:hAnsi="Garamond" w:cs="AGaramondPro-Regular"/>
        </w:rPr>
        <w:t xml:space="preserve"> to optimally fulfill this in practice. As found by Seknas FITRA</w:t>
      </w:r>
      <w:r w:rsidRPr="009622FC">
        <w:rPr>
          <w:rStyle w:val="FootnoteReference"/>
          <w:rFonts w:ascii="Garamond" w:hAnsi="Garamond" w:cs="AGaramondPro-Regular"/>
          <w:lang w:val="en-US"/>
        </w:rPr>
        <w:footnoteReference w:id="34"/>
      </w:r>
      <w:r w:rsidR="00F272D8" w:rsidRPr="009622FC">
        <w:rPr>
          <w:rFonts w:ascii="Garamond" w:hAnsi="Garamond" w:cs="AGaramondPro-Regular"/>
        </w:rPr>
        <w:t>, t</w:t>
      </w:r>
      <w:r w:rsidRPr="009622FC">
        <w:rPr>
          <w:rFonts w:ascii="Garamond" w:hAnsi="Garamond" w:cs="AGaramondPro-Regular"/>
        </w:rPr>
        <w:t>he pro-poor, pro-</w:t>
      </w:r>
      <w:r w:rsidRPr="009622FC">
        <w:rPr>
          <w:rFonts w:ascii="Garamond" w:hAnsi="Garamond" w:cs="AGaramondPro-Regular"/>
        </w:rPr>
        <w:lastRenderedPageBreak/>
        <w:t>job, pro-growth and pro-environment policies as pillars of development are considered less capable of balancing</w:t>
      </w:r>
      <w:r w:rsidR="00F272D8" w:rsidRPr="009622FC">
        <w:rPr>
          <w:rFonts w:ascii="Garamond" w:hAnsi="Garamond" w:cs="AGaramondPro-Regular"/>
        </w:rPr>
        <w:t xml:space="preserve"> sustainable development.</w:t>
      </w:r>
    </w:p>
    <w:p w:rsidR="00B42460" w:rsidRPr="009622FC" w:rsidRDefault="00B42460" w:rsidP="00B42460">
      <w:pPr>
        <w:pStyle w:val="CommentText"/>
        <w:spacing w:line="276" w:lineRule="auto"/>
        <w:jc w:val="both"/>
        <w:rPr>
          <w:rFonts w:ascii="Garamond" w:hAnsi="Garamond"/>
          <w:sz w:val="22"/>
          <w:szCs w:val="22"/>
        </w:rPr>
      </w:pPr>
      <w:r w:rsidRPr="009622FC">
        <w:rPr>
          <w:rFonts w:ascii="Garamond" w:hAnsi="Garamond"/>
          <w:b/>
          <w:sz w:val="22"/>
          <w:szCs w:val="22"/>
        </w:rPr>
        <w:t>The Long-Road Corridor (Corridor Permit) poses a threat of deforestation and degradation</w:t>
      </w:r>
      <w:r w:rsidRPr="009622FC">
        <w:rPr>
          <w:rFonts w:ascii="Garamond" w:hAnsi="Garamond"/>
          <w:b/>
          <w:i/>
          <w:sz w:val="22"/>
          <w:szCs w:val="22"/>
        </w:rPr>
        <w:t xml:space="preserve">. </w:t>
      </w:r>
      <w:r w:rsidRPr="009622FC">
        <w:rPr>
          <w:rFonts w:ascii="Garamond" w:hAnsi="Garamond"/>
          <w:sz w:val="22"/>
          <w:szCs w:val="22"/>
        </w:rPr>
        <w:t xml:space="preserve">In addition to policies supporting the transfer of land and forest function for mining and agricultural/plantation activities, forest land is also threatened by the issuance of corridor permits. In Forestry Minister’s Regulation No. P. 30/Menhut-Ii/2010 on the Amendment of Forestry Minister’s Regulation No. P.9/Menhut-Ii/2010 on Permits for </w:t>
      </w:r>
      <w:r w:rsidR="003E6557">
        <w:rPr>
          <w:rFonts w:ascii="Garamond" w:hAnsi="Garamond"/>
          <w:sz w:val="22"/>
          <w:szCs w:val="22"/>
        </w:rPr>
        <w:t>Corridor Construction and Utili</w:t>
      </w:r>
      <w:r w:rsidR="003E6557">
        <w:rPr>
          <w:rFonts w:ascii="Garamond" w:hAnsi="Garamond"/>
          <w:sz w:val="22"/>
          <w:szCs w:val="22"/>
          <w:lang w:val="en-US"/>
        </w:rPr>
        <w:t>s</w:t>
      </w:r>
      <w:r w:rsidRPr="009622FC">
        <w:rPr>
          <w:rFonts w:ascii="Garamond" w:hAnsi="Garamond"/>
          <w:sz w:val="22"/>
          <w:szCs w:val="22"/>
        </w:rPr>
        <w:t>ation, Article 1, it is stated that:</w:t>
      </w:r>
    </w:p>
    <w:p w:rsidR="00B42460" w:rsidRPr="009622FC" w:rsidRDefault="00B42460" w:rsidP="00B42460">
      <w:pPr>
        <w:pStyle w:val="CommentText"/>
        <w:spacing w:line="276" w:lineRule="auto"/>
        <w:ind w:left="709" w:right="804"/>
        <w:jc w:val="both"/>
        <w:rPr>
          <w:rFonts w:ascii="Garamond" w:hAnsi="Garamond"/>
          <w:sz w:val="22"/>
          <w:szCs w:val="22"/>
        </w:rPr>
      </w:pPr>
      <w:r w:rsidRPr="009622FC">
        <w:rPr>
          <w:rFonts w:ascii="Garamond" w:hAnsi="Garamond"/>
          <w:sz w:val="22"/>
          <w:szCs w:val="22"/>
        </w:rPr>
        <w:t>“The corridor is a transportation pathway in the form of roadways, canals, dollies/railways or other pathways constructed and/or used mainly for transporting timber or non-timber forest products, or  timber and non-timber primary industry products from IUPHHK areas to natural forests, or from IUPHHK areas to plantation forests, or from IPK or forest product primary industry areas to timber storage centers/log ponds at the edge of rivers or the sea, or other places via forest areas outside IUPHHK/BK areas to natural forest or plantation forest areas, IPK or the primary industrial area of the associated forest products.”</w:t>
      </w:r>
    </w:p>
    <w:p w:rsidR="00B42460" w:rsidRPr="009622FC" w:rsidRDefault="00B42460" w:rsidP="00B42460">
      <w:pPr>
        <w:pStyle w:val="CommentText"/>
        <w:spacing w:line="276" w:lineRule="auto"/>
        <w:jc w:val="both"/>
        <w:rPr>
          <w:rFonts w:ascii="Garamond" w:hAnsi="Garamond"/>
          <w:sz w:val="22"/>
          <w:szCs w:val="22"/>
        </w:rPr>
      </w:pPr>
      <w:r w:rsidRPr="009622FC">
        <w:rPr>
          <w:rFonts w:ascii="Garamond" w:hAnsi="Garamond"/>
          <w:sz w:val="22"/>
          <w:szCs w:val="22"/>
        </w:rPr>
        <w:t>From this definition it is clearly seen that the objective of the corridor construction is to facilitate the flow and distribution of mining and forestry products.</w:t>
      </w:r>
    </w:p>
    <w:p w:rsidR="00B42460" w:rsidRPr="009622FC" w:rsidRDefault="00B42460" w:rsidP="00B42460">
      <w:pPr>
        <w:pStyle w:val="CommentText"/>
        <w:spacing w:line="276" w:lineRule="auto"/>
        <w:jc w:val="both"/>
        <w:rPr>
          <w:rFonts w:ascii="Garamond" w:hAnsi="Garamond"/>
          <w:sz w:val="22"/>
          <w:szCs w:val="22"/>
        </w:rPr>
      </w:pPr>
      <w:r w:rsidRPr="009622FC">
        <w:rPr>
          <w:rFonts w:ascii="Garamond" w:hAnsi="Garamond"/>
          <w:sz w:val="22"/>
          <w:szCs w:val="22"/>
        </w:rPr>
        <w:t xml:space="preserve">In Article 17 of Forestry Minister’s Regulation No. P. 30/Menhut-Ii/2010 on the Amendment of Forestry Minister’s Regulation No. P.9/Menhut-Ii/2010 on Permits for </w:t>
      </w:r>
      <w:r w:rsidR="003E6557">
        <w:rPr>
          <w:rFonts w:ascii="Garamond" w:hAnsi="Garamond"/>
          <w:sz w:val="22"/>
          <w:szCs w:val="22"/>
        </w:rPr>
        <w:t>Corridor Construction and Utili</w:t>
      </w:r>
      <w:r w:rsidR="003E6557">
        <w:rPr>
          <w:rFonts w:ascii="Garamond" w:hAnsi="Garamond"/>
          <w:sz w:val="22"/>
          <w:szCs w:val="22"/>
          <w:lang w:val="en-US"/>
        </w:rPr>
        <w:t>s</w:t>
      </w:r>
      <w:r w:rsidRPr="009622FC">
        <w:rPr>
          <w:rFonts w:ascii="Garamond" w:hAnsi="Garamond"/>
          <w:sz w:val="22"/>
          <w:szCs w:val="22"/>
        </w:rPr>
        <w:t>ation, it is stated that the provisions for constructing a corridor are as follows:</w:t>
      </w:r>
    </w:p>
    <w:p w:rsidR="00B42460" w:rsidRPr="009622FC" w:rsidRDefault="00B42460" w:rsidP="00B42460">
      <w:pPr>
        <w:pStyle w:val="CommentText"/>
        <w:spacing w:after="0" w:line="276" w:lineRule="auto"/>
        <w:ind w:left="709" w:right="1371" w:hanging="283"/>
        <w:jc w:val="both"/>
        <w:rPr>
          <w:rFonts w:ascii="Garamond" w:hAnsi="Garamond"/>
          <w:sz w:val="22"/>
          <w:szCs w:val="22"/>
        </w:rPr>
      </w:pPr>
      <w:r w:rsidRPr="009622FC">
        <w:rPr>
          <w:rFonts w:ascii="Garamond" w:hAnsi="Garamond"/>
          <w:sz w:val="22"/>
          <w:szCs w:val="22"/>
        </w:rPr>
        <w:t xml:space="preserve">a. It should be managed so that the transportation route is as short as possible; </w:t>
      </w:r>
    </w:p>
    <w:p w:rsidR="00B42460" w:rsidRPr="009622FC" w:rsidRDefault="00B42460" w:rsidP="00B42460">
      <w:pPr>
        <w:pStyle w:val="CommentText"/>
        <w:spacing w:after="0" w:line="276" w:lineRule="auto"/>
        <w:ind w:left="709" w:right="1371" w:hanging="283"/>
        <w:jc w:val="both"/>
        <w:rPr>
          <w:rFonts w:ascii="Garamond" w:hAnsi="Garamond"/>
          <w:sz w:val="22"/>
          <w:szCs w:val="22"/>
        </w:rPr>
      </w:pPr>
      <w:r w:rsidRPr="009622FC">
        <w:rPr>
          <w:rFonts w:ascii="Garamond" w:hAnsi="Garamond"/>
          <w:sz w:val="22"/>
          <w:szCs w:val="22"/>
        </w:rPr>
        <w:t xml:space="preserve">b. Non-forestry areas are preferred; </w:t>
      </w:r>
    </w:p>
    <w:p w:rsidR="00B42460" w:rsidRPr="009622FC" w:rsidRDefault="00B42460" w:rsidP="00B42460">
      <w:pPr>
        <w:pStyle w:val="CommentText"/>
        <w:spacing w:after="0" w:line="276" w:lineRule="auto"/>
        <w:ind w:left="709" w:right="1371" w:hanging="283"/>
        <w:jc w:val="both"/>
        <w:rPr>
          <w:rFonts w:ascii="Garamond" w:hAnsi="Garamond"/>
          <w:sz w:val="22"/>
          <w:szCs w:val="22"/>
        </w:rPr>
      </w:pPr>
      <w:r w:rsidRPr="009622FC">
        <w:rPr>
          <w:rFonts w:ascii="Garamond" w:hAnsi="Garamond"/>
          <w:sz w:val="22"/>
          <w:szCs w:val="22"/>
        </w:rPr>
        <w:t xml:space="preserve">c. No burning is allowed; and </w:t>
      </w:r>
    </w:p>
    <w:p w:rsidR="000E0E55" w:rsidRDefault="00B42460" w:rsidP="004808CB">
      <w:pPr>
        <w:pStyle w:val="CommentText"/>
        <w:spacing w:after="0" w:line="276" w:lineRule="auto"/>
        <w:ind w:left="709" w:right="1371" w:hanging="283"/>
        <w:jc w:val="both"/>
        <w:rPr>
          <w:rFonts w:ascii="Garamond" w:hAnsi="Garamond"/>
          <w:sz w:val="22"/>
          <w:szCs w:val="22"/>
          <w:lang w:val="en-US"/>
        </w:rPr>
      </w:pPr>
      <w:r w:rsidRPr="009622FC">
        <w:rPr>
          <w:rFonts w:ascii="Garamond" w:hAnsi="Garamond"/>
          <w:sz w:val="22"/>
          <w:szCs w:val="22"/>
        </w:rPr>
        <w:t>d. The maximum corridor widt</w:t>
      </w:r>
      <w:r w:rsidR="00902E03" w:rsidRPr="009622FC">
        <w:rPr>
          <w:rFonts w:ascii="Garamond" w:hAnsi="Garamond"/>
          <w:sz w:val="22"/>
          <w:szCs w:val="22"/>
        </w:rPr>
        <w:t>h is forty (40</w:t>
      </w:r>
      <w:r w:rsidRPr="009622FC">
        <w:rPr>
          <w:rFonts w:ascii="Garamond" w:hAnsi="Garamond"/>
          <w:sz w:val="22"/>
          <w:szCs w:val="22"/>
        </w:rPr>
        <w:t>) meters, consisting of main road/road surfaces, right and left road shoulders, felling from the edges of the right and left shoulders of the road and so on.</w:t>
      </w:r>
    </w:p>
    <w:p w:rsidR="004808CB" w:rsidRPr="004808CB" w:rsidRDefault="004808CB" w:rsidP="004808CB">
      <w:pPr>
        <w:pStyle w:val="CommentText"/>
        <w:spacing w:after="0" w:line="276" w:lineRule="auto"/>
        <w:ind w:left="709" w:right="1371" w:hanging="283"/>
        <w:jc w:val="both"/>
        <w:rPr>
          <w:rFonts w:ascii="Garamond" w:hAnsi="Garamond"/>
          <w:sz w:val="22"/>
          <w:szCs w:val="22"/>
          <w:lang w:val="en-US"/>
        </w:rPr>
      </w:pPr>
    </w:p>
    <w:p w:rsidR="00B42460" w:rsidRPr="009622FC" w:rsidRDefault="00902E03" w:rsidP="00B42460">
      <w:pPr>
        <w:pStyle w:val="CommentText"/>
        <w:spacing w:line="276" w:lineRule="auto"/>
        <w:jc w:val="both"/>
        <w:rPr>
          <w:rFonts w:ascii="Garamond" w:hAnsi="Garamond"/>
          <w:sz w:val="22"/>
          <w:szCs w:val="22"/>
        </w:rPr>
      </w:pPr>
      <w:r w:rsidRPr="009622FC">
        <w:rPr>
          <w:rFonts w:ascii="Garamond" w:hAnsi="Garamond"/>
          <w:sz w:val="22"/>
          <w:szCs w:val="22"/>
        </w:rPr>
        <w:t>W</w:t>
      </w:r>
      <w:r w:rsidR="00B42460" w:rsidRPr="009622FC">
        <w:rPr>
          <w:rFonts w:ascii="Garamond" w:hAnsi="Garamond"/>
          <w:sz w:val="22"/>
          <w:szCs w:val="22"/>
        </w:rPr>
        <w:t>hat actually happens in the field is that the issuance of a corridor permit often poses a threat to forests. The provinces of South Sumatra (with an area of 52,170 Ha)</w:t>
      </w:r>
      <w:r w:rsidR="00B42460" w:rsidRPr="009622FC">
        <w:rPr>
          <w:rStyle w:val="FootnoteReference"/>
          <w:rFonts w:ascii="Garamond" w:hAnsi="Garamond"/>
          <w:sz w:val="22"/>
          <w:szCs w:val="22"/>
        </w:rPr>
        <w:footnoteReference w:id="35"/>
      </w:r>
      <w:r w:rsidR="00B42460" w:rsidRPr="009622FC">
        <w:rPr>
          <w:rFonts w:ascii="Garamond" w:hAnsi="Garamond"/>
          <w:sz w:val="22"/>
          <w:szCs w:val="22"/>
        </w:rPr>
        <w:t xml:space="preserve"> and Jambi (46,385 Ha) have introduced a land allocation known as </w:t>
      </w:r>
      <w:r w:rsidR="00B42460" w:rsidRPr="009622FC">
        <w:rPr>
          <w:rFonts w:ascii="Garamond" w:hAnsi="Garamond"/>
          <w:i/>
          <w:sz w:val="22"/>
          <w:szCs w:val="22"/>
        </w:rPr>
        <w:t>Hutan Harapan</w:t>
      </w:r>
      <w:r w:rsidRPr="009622FC">
        <w:rPr>
          <w:rFonts w:ascii="Garamond" w:hAnsi="Garamond"/>
          <w:sz w:val="22"/>
          <w:szCs w:val="22"/>
        </w:rPr>
        <w:t>, or ‘Hope Forest’—</w:t>
      </w:r>
      <w:r w:rsidR="00B42460" w:rsidRPr="009622FC">
        <w:rPr>
          <w:rFonts w:ascii="Garamond" w:hAnsi="Garamond"/>
          <w:sz w:val="22"/>
          <w:szCs w:val="22"/>
        </w:rPr>
        <w:t xml:space="preserve">an ecosystem restoration forest of 98,555 Ha, which was previously used as a production forest concession area, where the ecosystem is currently being recovered. The current Hutan Harapan has once again come under threat by plans to construct a corridor for transporting coal-mining products. The total area of this coal transport road will pass through a forest area for total length of 51.3 kilometers and width of ±30-50 meters. Thus, </w:t>
      </w:r>
      <w:r w:rsidR="00B42460" w:rsidRPr="009622FC">
        <w:rPr>
          <w:rFonts w:ascii="Garamond" w:hAnsi="Garamond"/>
          <w:b/>
          <w:sz w:val="22"/>
          <w:szCs w:val="22"/>
        </w:rPr>
        <w:t>up to 154 Ha of forest land will being opened due to the construction of the road, with an affected area of ± 5,300 Ha</w:t>
      </w:r>
      <w:r w:rsidR="00B42460" w:rsidRPr="009622FC">
        <w:rPr>
          <w:rFonts w:ascii="Garamond" w:hAnsi="Garamond"/>
          <w:sz w:val="22"/>
          <w:szCs w:val="22"/>
        </w:rPr>
        <w:t xml:space="preserve">. </w:t>
      </w:r>
    </w:p>
    <w:p w:rsidR="00B42460" w:rsidRPr="009622FC" w:rsidRDefault="00B42460" w:rsidP="005418E1">
      <w:pPr>
        <w:pStyle w:val="Heading1"/>
        <w:spacing w:before="0" w:after="0" w:line="276" w:lineRule="auto"/>
        <w:rPr>
          <w:rFonts w:ascii="Garamond" w:hAnsi="Garamond"/>
          <w:color w:val="auto"/>
          <w:sz w:val="40"/>
          <w:szCs w:val="40"/>
        </w:rPr>
      </w:pPr>
      <w:r w:rsidRPr="009622FC">
        <w:rPr>
          <w:rFonts w:ascii="Garamond" w:hAnsi="Garamond"/>
          <w:color w:val="auto"/>
          <w:sz w:val="40"/>
          <w:szCs w:val="40"/>
        </w:rPr>
        <w:lastRenderedPageBreak/>
        <w:t>Part III</w:t>
      </w:r>
      <w:r w:rsidR="000E0E55">
        <w:rPr>
          <w:rFonts w:ascii="Garamond" w:hAnsi="Garamond"/>
          <w:color w:val="auto"/>
          <w:sz w:val="40"/>
          <w:szCs w:val="40"/>
        </w:rPr>
        <w:tab/>
      </w:r>
      <w:r w:rsidRPr="009622FC">
        <w:rPr>
          <w:rFonts w:ascii="Garamond" w:hAnsi="Garamond"/>
          <w:color w:val="auto"/>
          <w:sz w:val="40"/>
          <w:szCs w:val="40"/>
        </w:rPr>
        <w:t xml:space="preserve">Reviewing Regional Budgets:                        Measuring Regional Government </w:t>
      </w:r>
      <w:r w:rsidRPr="009622FC">
        <w:rPr>
          <w:rFonts w:ascii="Garamond" w:hAnsi="Garamond"/>
          <w:color w:val="auto"/>
          <w:sz w:val="40"/>
          <w:szCs w:val="40"/>
        </w:rPr>
        <w:br/>
        <w:t xml:space="preserve">Commitment and Partiality Toward </w:t>
      </w:r>
      <w:r w:rsidRPr="009622FC">
        <w:rPr>
          <w:rFonts w:ascii="Garamond" w:hAnsi="Garamond"/>
          <w:color w:val="auto"/>
          <w:sz w:val="40"/>
          <w:szCs w:val="40"/>
        </w:rPr>
        <w:br/>
        <w:t>Land and Forest Governance</w:t>
      </w:r>
    </w:p>
    <w:p w:rsidR="005418E1" w:rsidRDefault="005418E1" w:rsidP="005418E1">
      <w:pPr>
        <w:spacing w:after="0"/>
        <w:jc w:val="both"/>
        <w:rPr>
          <w:rFonts w:ascii="Garamond" w:hAnsi="Garamond"/>
          <w:b/>
          <w:u w:val="single"/>
          <w:lang w:val="en-US"/>
        </w:rPr>
      </w:pPr>
    </w:p>
    <w:p w:rsidR="00B42460" w:rsidRPr="009622FC" w:rsidRDefault="00B42460" w:rsidP="00B42460">
      <w:pPr>
        <w:jc w:val="both"/>
        <w:rPr>
          <w:rFonts w:ascii="Garamond" w:hAnsi="Garamond"/>
          <w:b/>
          <w:u w:val="single"/>
          <w:lang w:val="en-US"/>
        </w:rPr>
      </w:pPr>
      <w:r w:rsidRPr="009622FC">
        <w:rPr>
          <w:rFonts w:ascii="Garamond" w:hAnsi="Garamond"/>
          <w:b/>
          <w:u w:val="single"/>
        </w:rPr>
        <w:t xml:space="preserve">3.1 Overview of Regional Revenue </w:t>
      </w:r>
    </w:p>
    <w:p w:rsidR="00B42460" w:rsidRPr="009622FC" w:rsidRDefault="00B42460" w:rsidP="00B42460">
      <w:pPr>
        <w:jc w:val="both"/>
        <w:rPr>
          <w:rFonts w:ascii="Garamond" w:hAnsi="Garamond"/>
        </w:rPr>
      </w:pPr>
      <w:r w:rsidRPr="009622FC">
        <w:rPr>
          <w:rFonts w:ascii="Garamond" w:hAnsi="Garamond"/>
        </w:rPr>
        <w:t>In a previous budget study conducted by Seknas FITRA, an analysis of regional revenue was needed to see where the revenue comes from and how great its fiscal capacity is in funding internal programs and personnel.</w:t>
      </w:r>
    </w:p>
    <w:p w:rsidR="00B42460" w:rsidRPr="009622FC" w:rsidRDefault="00B42460" w:rsidP="00B42460">
      <w:pPr>
        <w:autoSpaceDE w:val="0"/>
        <w:autoSpaceDN w:val="0"/>
        <w:adjustRightInd w:val="0"/>
        <w:spacing w:after="0"/>
        <w:jc w:val="both"/>
        <w:rPr>
          <w:rFonts w:ascii="Garamond" w:hAnsi="Garamond" w:cs="Cambria"/>
          <w:color w:val="000000"/>
        </w:rPr>
      </w:pPr>
      <w:r w:rsidRPr="009622FC">
        <w:rPr>
          <w:rFonts w:ascii="Garamond" w:hAnsi="Garamond"/>
          <w:b/>
        </w:rPr>
        <w:t xml:space="preserve">Regional revenue is obtained through locally generated revenue (PAD), balanced funds (daper) and a type called Miscellaneous Lawful Regional Revenue (LPDS). </w:t>
      </w:r>
      <w:r w:rsidRPr="009622FC">
        <w:rPr>
          <w:rFonts w:ascii="Garamond" w:hAnsi="Garamond"/>
        </w:rPr>
        <w:t>Law No. 33/2004 concerning fiscal balance for</w:t>
      </w:r>
      <w:r w:rsidRPr="009622FC">
        <w:rPr>
          <w:rFonts w:ascii="Garamond" w:hAnsi="Garamond" w:cs="Cambria"/>
          <w:color w:val="000000"/>
        </w:rPr>
        <w:t xml:space="preserve"> central and regional governments stipulates that there are three main sources of regional revenue:</w:t>
      </w:r>
    </w:p>
    <w:p w:rsidR="00B42460" w:rsidRPr="009622FC" w:rsidRDefault="00B42460" w:rsidP="00B42460">
      <w:pPr>
        <w:autoSpaceDE w:val="0"/>
        <w:autoSpaceDN w:val="0"/>
        <w:adjustRightInd w:val="0"/>
        <w:spacing w:after="0"/>
        <w:jc w:val="both"/>
        <w:rPr>
          <w:rFonts w:ascii="Garamond" w:hAnsi="Garamond" w:cs="Cambria"/>
          <w:color w:val="000000"/>
        </w:rPr>
      </w:pPr>
    </w:p>
    <w:p w:rsidR="00B42460" w:rsidRPr="009622FC" w:rsidRDefault="00B42460" w:rsidP="00B42460">
      <w:pPr>
        <w:numPr>
          <w:ilvl w:val="0"/>
          <w:numId w:val="1"/>
        </w:numPr>
        <w:autoSpaceDE w:val="0"/>
        <w:autoSpaceDN w:val="0"/>
        <w:adjustRightInd w:val="0"/>
        <w:spacing w:after="0"/>
        <w:ind w:left="450" w:hanging="270"/>
        <w:contextualSpacing/>
        <w:jc w:val="both"/>
        <w:rPr>
          <w:rFonts w:ascii="Garamond" w:hAnsi="Garamond" w:cs="Cambria"/>
          <w:color w:val="000000"/>
        </w:rPr>
      </w:pPr>
      <w:r w:rsidRPr="009622FC">
        <w:rPr>
          <w:rFonts w:ascii="Garamond" w:hAnsi="Garamond" w:cs="Cambria"/>
          <w:i/>
          <w:iCs/>
          <w:color w:val="000000"/>
        </w:rPr>
        <w:t>Locally Generated Revenue (PAD)</w:t>
      </w:r>
      <w:r w:rsidRPr="009622FC">
        <w:rPr>
          <w:rFonts w:ascii="Garamond" w:hAnsi="Garamond" w:cs="Cambria"/>
          <w:i/>
          <w:color w:val="000000"/>
        </w:rPr>
        <w:t>,</w:t>
      </w:r>
      <w:r w:rsidRPr="009622FC">
        <w:rPr>
          <w:rFonts w:ascii="Garamond" w:hAnsi="Garamond" w:cs="Cambria"/>
          <w:color w:val="000000"/>
        </w:rPr>
        <w:t xml:space="preserve"> consisting of Regional Tax, Regional Fees and Charges, Results of Separated Regional Asset Management, and Lawful Miscellaneous PAD. </w:t>
      </w:r>
    </w:p>
    <w:p w:rsidR="00B42460" w:rsidRPr="009622FC" w:rsidRDefault="00B42460" w:rsidP="00B42460">
      <w:pPr>
        <w:numPr>
          <w:ilvl w:val="0"/>
          <w:numId w:val="1"/>
        </w:numPr>
        <w:autoSpaceDE w:val="0"/>
        <w:autoSpaceDN w:val="0"/>
        <w:adjustRightInd w:val="0"/>
        <w:spacing w:after="0"/>
        <w:ind w:left="450" w:hanging="270"/>
        <w:contextualSpacing/>
        <w:jc w:val="both"/>
        <w:rPr>
          <w:rFonts w:ascii="Garamond" w:hAnsi="Garamond"/>
        </w:rPr>
      </w:pPr>
      <w:r w:rsidRPr="009622FC">
        <w:rPr>
          <w:rFonts w:ascii="Garamond" w:hAnsi="Garamond" w:cs="Cambria"/>
          <w:i/>
          <w:iCs/>
          <w:color w:val="000000"/>
        </w:rPr>
        <w:t>Balanced Funds</w:t>
      </w:r>
      <w:r w:rsidRPr="009622FC">
        <w:rPr>
          <w:rFonts w:ascii="Garamond" w:hAnsi="Garamond" w:cs="Cambria"/>
          <w:color w:val="000000"/>
        </w:rPr>
        <w:t xml:space="preserve">, consisting of General Allocation Funds (DAU), Special Allocation Funds (DAK), and Profit-Sharing Funds (DBH). </w:t>
      </w:r>
    </w:p>
    <w:p w:rsidR="00B42460" w:rsidRPr="009622FC" w:rsidRDefault="00B42460" w:rsidP="00B42460">
      <w:pPr>
        <w:numPr>
          <w:ilvl w:val="0"/>
          <w:numId w:val="1"/>
        </w:numPr>
        <w:autoSpaceDE w:val="0"/>
        <w:autoSpaceDN w:val="0"/>
        <w:adjustRightInd w:val="0"/>
        <w:spacing w:after="0"/>
        <w:ind w:left="450" w:hanging="270"/>
        <w:contextualSpacing/>
        <w:jc w:val="both"/>
        <w:rPr>
          <w:rFonts w:ascii="Garamond" w:hAnsi="Garamond"/>
        </w:rPr>
      </w:pPr>
      <w:r w:rsidRPr="009622FC">
        <w:rPr>
          <w:rFonts w:ascii="Garamond" w:hAnsi="Garamond" w:cs="Cambria"/>
          <w:i/>
          <w:iCs/>
          <w:color w:val="000000"/>
        </w:rPr>
        <w:t>Other Revenue (LPDS)</w:t>
      </w:r>
      <w:r w:rsidRPr="009622FC">
        <w:rPr>
          <w:rFonts w:ascii="Garamond" w:hAnsi="Garamond" w:cs="Cambria"/>
          <w:color w:val="000000"/>
        </w:rPr>
        <w:t>, consisting of Grant Funds, Emergency Funds, Profit-Sharing Funds, Tax from Other Provincial and Local Governments, Adjustment and Special Autonomy Funds, Financial Assistance from Other Provincial and Local Governments, and ‘Other’ Revenue.</w:t>
      </w:r>
    </w:p>
    <w:p w:rsidR="00B42460" w:rsidRPr="009622FC" w:rsidRDefault="00B42460" w:rsidP="00B42460">
      <w:pPr>
        <w:autoSpaceDE w:val="0"/>
        <w:autoSpaceDN w:val="0"/>
        <w:adjustRightInd w:val="0"/>
        <w:spacing w:after="0"/>
        <w:ind w:left="180"/>
        <w:contextualSpacing/>
        <w:jc w:val="both"/>
        <w:rPr>
          <w:rFonts w:ascii="Garamond" w:hAnsi="Garamond" w:cs="Cambria"/>
          <w:i/>
          <w:iCs/>
          <w:color w:val="000000"/>
        </w:rPr>
      </w:pPr>
    </w:p>
    <w:p w:rsidR="00B42460" w:rsidRPr="009622FC" w:rsidRDefault="00B42460" w:rsidP="00B42460">
      <w:pPr>
        <w:autoSpaceDE w:val="0"/>
        <w:autoSpaceDN w:val="0"/>
        <w:adjustRightInd w:val="0"/>
        <w:spacing w:after="0"/>
        <w:contextualSpacing/>
        <w:jc w:val="both"/>
        <w:rPr>
          <w:rFonts w:ascii="Garamond" w:hAnsi="Garamond"/>
        </w:rPr>
      </w:pPr>
      <w:r w:rsidRPr="009622FC">
        <w:rPr>
          <w:rFonts w:ascii="Garamond" w:hAnsi="Garamond"/>
          <w:b/>
          <w:bCs/>
        </w:rPr>
        <w:t xml:space="preserve">District government revenue remains dependent on balanced funds, while its provincial counterpart is almost equally distributed between balanced funds and locally generated revenue (PAD). </w:t>
      </w:r>
      <w:r w:rsidRPr="009622FC">
        <w:rPr>
          <w:rFonts w:ascii="Garamond" w:hAnsi="Garamond"/>
          <w:bCs/>
        </w:rPr>
        <w:t xml:space="preserve">The average proportion of balanced funds making up regional revenue in the six district-level governments studied reached 83.5 percent in the period 2009-2012. </w:t>
      </w:r>
      <w:r w:rsidRPr="009622FC">
        <w:rPr>
          <w:rFonts w:ascii="Garamond" w:hAnsi="Garamond"/>
        </w:rPr>
        <w:t>This figure confirms FITRA’s previous findings, which suggest</w:t>
      </w:r>
      <w:r w:rsidR="002F4DD6" w:rsidRPr="009622FC">
        <w:rPr>
          <w:rFonts w:ascii="Garamond" w:hAnsi="Garamond"/>
        </w:rPr>
        <w:t>ed that there had</w:t>
      </w:r>
      <w:r w:rsidRPr="009622FC">
        <w:rPr>
          <w:rFonts w:ascii="Garamond" w:hAnsi="Garamond"/>
        </w:rPr>
        <w:t xml:space="preserve"> been no significant change </w:t>
      </w:r>
      <w:r w:rsidRPr="009622FC">
        <w:rPr>
          <w:rFonts w:ascii="Garamond" w:hAnsi="Garamond"/>
          <w:bCs/>
        </w:rPr>
        <w:t>in regional governments’ dependence on balance</w:t>
      </w:r>
      <w:r w:rsidR="002F4DD6" w:rsidRPr="009622FC">
        <w:rPr>
          <w:rFonts w:ascii="Garamond" w:hAnsi="Garamond"/>
          <w:bCs/>
        </w:rPr>
        <w:t>d funds. Despite the increased</w:t>
      </w:r>
      <w:r w:rsidRPr="009622FC">
        <w:rPr>
          <w:rFonts w:ascii="Garamond" w:hAnsi="Garamond"/>
          <w:bCs/>
        </w:rPr>
        <w:t xml:space="preserve"> contribution from Other Revenue (LPDS) in the last few years, balanced funds remain the greatest contributor to regional revenue. Regional governments fail to optimally manage locally generated revenue (PAD) as the base source of regional revenue.</w:t>
      </w:r>
    </w:p>
    <w:p w:rsidR="00B42460" w:rsidRPr="009622FC" w:rsidRDefault="00B42460" w:rsidP="00B42460">
      <w:pPr>
        <w:keepNext/>
        <w:keepLines/>
        <w:spacing w:before="200" w:after="0"/>
        <w:jc w:val="both"/>
        <w:outlineLvl w:val="1"/>
        <w:rPr>
          <w:rFonts w:ascii="Garamond" w:hAnsi="Garamond"/>
          <w:bCs/>
        </w:rPr>
      </w:pPr>
      <w:r w:rsidRPr="009622FC">
        <w:rPr>
          <w:rFonts w:ascii="Garamond" w:hAnsi="Garamond"/>
          <w:bCs/>
        </w:rPr>
        <w:t xml:space="preserve">The district with the greatest dependence on balanced funds is Musi Banyuasin, where for four consecutive years the dependence rate was over 90 percent. Berau district, on the other hand, had the lowest average dependence from 2009-2012, at 73 percent. PAD contributed only 5.9 percent of the revenue in the six regions for 2009-2012. This figure is still below the </w:t>
      </w:r>
      <w:r w:rsidRPr="009622FC">
        <w:rPr>
          <w:rFonts w:ascii="Garamond" w:hAnsi="Garamond"/>
        </w:rPr>
        <w:t xml:space="preserve">national average for PAD contribution during 2009-2012 of 6.6 percent. </w:t>
      </w:r>
      <w:r w:rsidRPr="009622FC">
        <w:rPr>
          <w:rFonts w:ascii="Garamond" w:hAnsi="Garamond"/>
          <w:bCs/>
        </w:rPr>
        <w:t>The highest PAD contribution was in Berau, with nearly 10 percent between 2009 and 2012. Musi Banyuasin district was only able to collect 4 percent during the same period, which is nearly stagnant.</w:t>
      </w:r>
    </w:p>
    <w:p w:rsidR="005418E1" w:rsidRDefault="00B42460" w:rsidP="005418E1">
      <w:pPr>
        <w:keepNext/>
        <w:keepLines/>
        <w:spacing w:after="0"/>
        <w:jc w:val="center"/>
        <w:outlineLvl w:val="1"/>
        <w:rPr>
          <w:rFonts w:ascii="Garamond" w:hAnsi="Garamond"/>
          <w:b/>
          <w:bCs/>
          <w:color w:val="000000"/>
          <w:lang w:val="en-AU" w:eastAsia="en-US" w:bidi="ar-SA"/>
        </w:rPr>
      </w:pPr>
      <w:r w:rsidRPr="009622FC">
        <w:rPr>
          <w:rFonts w:ascii="Garamond" w:hAnsi="Garamond"/>
          <w:bCs/>
        </w:rPr>
        <w:br w:type="page"/>
      </w:r>
      <w:r w:rsidR="00273E5C" w:rsidRPr="009622FC">
        <w:rPr>
          <w:rFonts w:ascii="Garamond" w:hAnsi="Garamond"/>
          <w:b/>
          <w:bCs/>
          <w:color w:val="000000"/>
          <w:lang w:val="en-AU" w:eastAsia="en-US" w:bidi="ar-SA"/>
        </w:rPr>
        <w:lastRenderedPageBreak/>
        <w:t>Graphic</w:t>
      </w:r>
      <w:r w:rsidRPr="009622FC">
        <w:rPr>
          <w:rFonts w:ascii="Garamond" w:hAnsi="Garamond"/>
          <w:b/>
          <w:bCs/>
          <w:color w:val="000000"/>
          <w:lang w:val="en-AU" w:eastAsia="en-US" w:bidi="ar-SA"/>
        </w:rPr>
        <w:t>ic 3.1 - Revenue Composition by District, 2009-2012</w:t>
      </w:r>
    </w:p>
    <w:p w:rsidR="005418E1" w:rsidRPr="005418E1" w:rsidRDefault="005418E1" w:rsidP="005418E1">
      <w:pPr>
        <w:keepNext/>
        <w:keepLines/>
        <w:spacing w:after="0"/>
        <w:jc w:val="center"/>
        <w:outlineLvl w:val="1"/>
        <w:rPr>
          <w:rFonts w:ascii="Garamond" w:hAnsi="Garamond"/>
          <w:b/>
          <w:bCs/>
          <w:color w:val="000000"/>
          <w:lang w:val="en-AU" w:eastAsia="en-US" w:bidi="ar-SA"/>
        </w:rPr>
      </w:pPr>
    </w:p>
    <w:p w:rsidR="00B42460" w:rsidRPr="009622FC" w:rsidRDefault="00805913" w:rsidP="00B42460">
      <w:pPr>
        <w:jc w:val="both"/>
        <w:rPr>
          <w:rFonts w:ascii="Garamond" w:hAnsi="Garamond"/>
          <w:bCs/>
          <w:lang w:val="en-US"/>
        </w:rPr>
      </w:pPr>
      <w:r w:rsidRPr="009622FC">
        <w:rPr>
          <w:rFonts w:ascii="Garamond" w:hAnsi="Garamond"/>
          <w:noProof/>
          <w:lang w:val="en-US" w:eastAsia="en-US" w:bidi="ar-SA"/>
        </w:rPr>
        <w:drawing>
          <wp:inline distT="0" distB="0" distL="0" distR="0">
            <wp:extent cx="5489046" cy="2322432"/>
            <wp:effectExtent l="12206" t="6113" r="6103" b="0"/>
            <wp:docPr id="4" name="C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2460" w:rsidRPr="004808CB" w:rsidRDefault="00B42460" w:rsidP="00B42460">
      <w:pPr>
        <w:jc w:val="both"/>
        <w:rPr>
          <w:rFonts w:ascii="Garamond" w:hAnsi="Garamond"/>
          <w:lang w:val="en-US"/>
        </w:rPr>
      </w:pPr>
      <w:r w:rsidRPr="009622FC">
        <w:rPr>
          <w:rFonts w:ascii="Garamond" w:hAnsi="Garamond"/>
          <w:bCs/>
        </w:rPr>
        <w:t xml:space="preserve">At the provincial level, findings indicated an average balanced fund contribution in the three provinces between 2009-2012 of 52.3 percent. This figure shows that the provincial financial independence level is improving, and the three provinces are even above the average of the 33 provinces in Indonesia. </w:t>
      </w:r>
      <w:r w:rsidRPr="009622FC">
        <w:rPr>
          <w:rFonts w:ascii="Garamond" w:hAnsi="Garamond"/>
        </w:rPr>
        <w:t>The average PAD of all provinces in Indonesia during 2009-2012 was 40 percent of regional revenue. Meanwhile, East Kalimantan and South Sumatra’s average PAD during 2009-2012 was 43.2 and 42.9 percent respectively, while West Kalimantan’s was 42.2 percent.</w:t>
      </w:r>
    </w:p>
    <w:tbl>
      <w:tblPr>
        <w:tblW w:w="6360" w:type="dxa"/>
        <w:tblInd w:w="1116" w:type="dxa"/>
        <w:tblLook w:val="0000"/>
      </w:tblPr>
      <w:tblGrid>
        <w:gridCol w:w="6360"/>
      </w:tblGrid>
      <w:tr w:rsidR="00B42460" w:rsidRPr="009622FC">
        <w:trPr>
          <w:trHeight w:val="260"/>
        </w:trPr>
        <w:tc>
          <w:tcPr>
            <w:tcW w:w="6360" w:type="dxa"/>
            <w:tcBorders>
              <w:top w:val="nil"/>
              <w:left w:val="nil"/>
              <w:bottom w:val="nil"/>
              <w:right w:val="nil"/>
            </w:tcBorders>
            <w:shd w:val="clear" w:color="auto" w:fill="FFFFFF"/>
            <w:noWrap/>
            <w:vAlign w:val="bottom"/>
          </w:tcPr>
          <w:p w:rsidR="00B42460" w:rsidRDefault="00273E5C" w:rsidP="00B42460">
            <w:pPr>
              <w:spacing w:after="0" w:line="240" w:lineRule="auto"/>
              <w:jc w:val="center"/>
              <w:rPr>
                <w:rFonts w:ascii="Garamond" w:hAnsi="Garamond"/>
                <w:b/>
                <w:bCs/>
                <w:color w:val="000000"/>
                <w:lang w:val="en-AU" w:eastAsia="en-US" w:bidi="ar-SA"/>
              </w:rPr>
            </w:pPr>
            <w:r w:rsidRPr="009622FC">
              <w:rPr>
                <w:rFonts w:ascii="Garamond" w:hAnsi="Garamond"/>
                <w:b/>
                <w:bCs/>
                <w:color w:val="000000"/>
                <w:lang w:val="en-AU" w:eastAsia="en-US" w:bidi="ar-SA"/>
              </w:rPr>
              <w:t>Graphic</w:t>
            </w:r>
            <w:r w:rsidR="00B42460" w:rsidRPr="009622FC">
              <w:rPr>
                <w:rFonts w:ascii="Garamond" w:hAnsi="Garamond"/>
                <w:b/>
                <w:bCs/>
                <w:color w:val="000000"/>
                <w:lang w:val="en-AU" w:eastAsia="en-US" w:bidi="ar-SA"/>
              </w:rPr>
              <w:t>ic. 3.2 - Revenue Composition by Province, 2009-2012</w:t>
            </w:r>
          </w:p>
          <w:p w:rsidR="005418E1" w:rsidRPr="009622FC" w:rsidRDefault="005418E1" w:rsidP="00B42460">
            <w:pPr>
              <w:spacing w:after="0" w:line="240" w:lineRule="auto"/>
              <w:jc w:val="center"/>
              <w:rPr>
                <w:rFonts w:ascii="Garamond" w:hAnsi="Garamond"/>
                <w:b/>
                <w:color w:val="000000"/>
                <w:lang w:val="en-AU" w:eastAsia="en-US" w:bidi="ar-SA"/>
              </w:rPr>
            </w:pPr>
          </w:p>
        </w:tc>
      </w:tr>
    </w:tbl>
    <w:p w:rsidR="00B42460" w:rsidRPr="004808CB" w:rsidRDefault="00805913" w:rsidP="00B42460">
      <w:pPr>
        <w:jc w:val="both"/>
        <w:rPr>
          <w:rFonts w:ascii="Garamond" w:eastAsia="Times New Roman" w:hAnsi="Garamond"/>
          <w:lang w:val="en-US"/>
        </w:rPr>
      </w:pPr>
      <w:r w:rsidRPr="009622FC">
        <w:rPr>
          <w:rFonts w:ascii="Garamond" w:eastAsia="Times New Roman" w:hAnsi="Garamond"/>
          <w:noProof/>
          <w:lang w:val="en-US" w:eastAsia="en-US" w:bidi="ar-SA"/>
        </w:rPr>
        <w:drawing>
          <wp:inline distT="0" distB="0" distL="0" distR="0">
            <wp:extent cx="5489040" cy="2724272"/>
            <wp:effectExtent l="12210" t="6100" r="6105" b="2033"/>
            <wp:docPr id="5" name="C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42460" w:rsidRPr="009622FC" w:rsidRDefault="00B42460" w:rsidP="00B42460">
      <w:pPr>
        <w:jc w:val="both"/>
        <w:rPr>
          <w:rFonts w:ascii="Garamond" w:hAnsi="Garamond"/>
        </w:rPr>
      </w:pPr>
      <w:r w:rsidRPr="009622FC">
        <w:rPr>
          <w:rFonts w:ascii="Garamond" w:hAnsi="Garamond"/>
          <w:b/>
        </w:rPr>
        <w:t xml:space="preserve">Balanced funds generally come from the natural resources sector. </w:t>
      </w:r>
      <w:r w:rsidRPr="009622FC">
        <w:rPr>
          <w:rFonts w:ascii="Garamond" w:hAnsi="Garamond"/>
        </w:rPr>
        <w:t>Balanced funds are mostly received by regional governments from DBH, except for in West Kalimantan province and its districts, which still rely on DAU</w:t>
      </w:r>
      <w:r w:rsidRPr="009622FC">
        <w:rPr>
          <w:rFonts w:ascii="Garamond" w:hAnsi="Garamond"/>
          <w:b/>
          <w:i/>
        </w:rPr>
        <w:t xml:space="preserve">. </w:t>
      </w:r>
      <w:r w:rsidRPr="009622FC">
        <w:rPr>
          <w:rFonts w:ascii="Garamond" w:hAnsi="Garamond"/>
        </w:rPr>
        <w:t>East Kalimantan and South Sumatra provinces and their districts obtain balanced funds mostly from DBH of Natural Resources/ Non-Tax (SDA), mainly from oil and natural gas (migas) revenue-sharing. In East Kalimantan, almost 100 percent of the DBH came from this sector during 2009-2012. Meanwhile, South Sumatra’s natural resources DBH contribution reached 66 percent during the same period. The districts in both provinces experienced the same. Musi Banyuasin, Bulungan and Berau obtained a fairly large DBH, at more than two-thirds of the balanced fund transfer. Musi Rawas’ DBH and DAU were in balance.</w:t>
      </w:r>
    </w:p>
    <w:p w:rsidR="005418E1" w:rsidRDefault="00273E5C" w:rsidP="005418E1">
      <w:pPr>
        <w:keepNext/>
        <w:keepLines/>
        <w:spacing w:after="0"/>
        <w:jc w:val="center"/>
        <w:outlineLvl w:val="1"/>
        <w:rPr>
          <w:rFonts w:ascii="Garamond" w:hAnsi="Garamond"/>
          <w:b/>
          <w:bCs/>
          <w:color w:val="000000"/>
          <w:lang w:val="en-AU" w:eastAsia="en-US" w:bidi="ar-SA"/>
        </w:rPr>
      </w:pPr>
      <w:r w:rsidRPr="009622FC">
        <w:rPr>
          <w:rFonts w:ascii="Garamond" w:hAnsi="Garamond"/>
          <w:b/>
          <w:bCs/>
          <w:color w:val="000000"/>
          <w:lang w:val="en-AU" w:eastAsia="en-US" w:bidi="ar-SA"/>
        </w:rPr>
        <w:lastRenderedPageBreak/>
        <w:t>Graphic</w:t>
      </w:r>
      <w:r w:rsidR="00B42460" w:rsidRPr="009622FC">
        <w:rPr>
          <w:rFonts w:ascii="Garamond" w:hAnsi="Garamond"/>
          <w:b/>
          <w:bCs/>
          <w:color w:val="000000"/>
          <w:lang w:val="en-AU" w:eastAsia="en-US" w:bidi="ar-SA"/>
        </w:rPr>
        <w:t>ic 3.3 Balanced Funds Composition by Province</w:t>
      </w:r>
    </w:p>
    <w:p w:rsidR="005418E1" w:rsidRPr="009622FC" w:rsidRDefault="005418E1" w:rsidP="005418E1">
      <w:pPr>
        <w:keepNext/>
        <w:keepLines/>
        <w:spacing w:after="0"/>
        <w:jc w:val="center"/>
        <w:outlineLvl w:val="1"/>
        <w:rPr>
          <w:rFonts w:ascii="Garamond" w:hAnsi="Garamond"/>
          <w:b/>
          <w:bCs/>
          <w:color w:val="000000"/>
          <w:lang w:val="en-AU" w:eastAsia="en-US" w:bidi="ar-SA"/>
        </w:rPr>
      </w:pPr>
    </w:p>
    <w:p w:rsidR="00B42460" w:rsidRPr="009622FC" w:rsidRDefault="00805913" w:rsidP="00B42460">
      <w:pPr>
        <w:jc w:val="center"/>
        <w:rPr>
          <w:rFonts w:ascii="Garamond" w:eastAsia="Times New Roman" w:hAnsi="Garamond"/>
          <w:lang w:val="en-US"/>
        </w:rPr>
      </w:pPr>
      <w:r w:rsidRPr="009622FC">
        <w:rPr>
          <w:rFonts w:ascii="Garamond" w:eastAsia="Times New Roman" w:hAnsi="Garamond"/>
          <w:noProof/>
          <w:lang w:val="en-US" w:eastAsia="en-US" w:bidi="ar-SA"/>
        </w:rPr>
        <w:drawing>
          <wp:inline distT="0" distB="0" distL="0" distR="0">
            <wp:extent cx="4673270" cy="2651342"/>
            <wp:effectExtent l="10380" t="5907" r="5190" b="861"/>
            <wp:docPr id="6" name="C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42460" w:rsidRPr="009622FC" w:rsidRDefault="00B42460" w:rsidP="00B42460">
      <w:pPr>
        <w:jc w:val="both"/>
        <w:rPr>
          <w:rFonts w:ascii="Garamond" w:hAnsi="Garamond"/>
          <w:lang w:val="en-US"/>
        </w:rPr>
      </w:pPr>
      <w:r w:rsidRPr="009622FC">
        <w:rPr>
          <w:rFonts w:ascii="Garamond" w:hAnsi="Garamond"/>
        </w:rPr>
        <w:t xml:space="preserve">West Kalimantan province and its districts remain dependent on General Allocation Funds (DAU) as a source of balanced funds. West Kalimantan province and two of its districts, Sintang and Kubu Raya, obtained more than 80 percent of DAU. DBH at the provincial level reached only 13 percent, while at the district level, the contribution of DBH was smaller than that of DAK. </w:t>
      </w:r>
    </w:p>
    <w:p w:rsidR="00B42460" w:rsidRPr="009622FC" w:rsidRDefault="00805913" w:rsidP="00B42460">
      <w:pPr>
        <w:jc w:val="center"/>
        <w:rPr>
          <w:rFonts w:ascii="Garamond" w:hAnsi="Garamond"/>
          <w:b/>
        </w:rPr>
      </w:pPr>
      <w:r w:rsidRPr="009622FC">
        <w:rPr>
          <w:rFonts w:ascii="Garamond" w:hAnsi="Garamond"/>
          <w:b/>
          <w:noProof/>
          <w:lang w:val="en-US" w:eastAsia="en-US" w:bidi="ar-SA"/>
        </w:rPr>
        <w:drawing>
          <wp:inline distT="0" distB="0" distL="0" distR="0">
            <wp:extent cx="4896048" cy="2786187"/>
            <wp:effectExtent l="10875" t="5916" r="5437" b="4437"/>
            <wp:docPr id="7" name="C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18E1" w:rsidRDefault="005418E1" w:rsidP="00B42460">
      <w:pPr>
        <w:jc w:val="both"/>
        <w:rPr>
          <w:rFonts w:ascii="Garamond" w:hAnsi="Garamond"/>
          <w:b/>
          <w:lang w:val="en-US"/>
        </w:rPr>
      </w:pPr>
    </w:p>
    <w:p w:rsidR="00B42460" w:rsidRPr="009622FC" w:rsidRDefault="00B42460" w:rsidP="00B42460">
      <w:pPr>
        <w:jc w:val="both"/>
        <w:rPr>
          <w:rFonts w:ascii="Garamond" w:hAnsi="Garamond"/>
        </w:rPr>
      </w:pPr>
      <w:r w:rsidRPr="009622FC">
        <w:rPr>
          <w:rFonts w:ascii="Garamond" w:hAnsi="Garamond"/>
          <w:b/>
        </w:rPr>
        <w:t>East Kalimantan and South Sumatra provinces’ DBHs were dominated by the oil and gas sector, while West Kalimantan province was dominated by mining.</w:t>
      </w:r>
      <w:r w:rsidRPr="009622FC">
        <w:rPr>
          <w:rFonts w:ascii="Garamond" w:hAnsi="Garamond"/>
          <w:b/>
          <w:i/>
        </w:rPr>
        <w:t xml:space="preserve"> </w:t>
      </w:r>
      <w:r w:rsidRPr="009622FC">
        <w:rPr>
          <w:rFonts w:ascii="Garamond" w:hAnsi="Garamond"/>
        </w:rPr>
        <w:t>East Kalimantan’s economy is highly dependent on natural resource extraction. More than two-thirds of SDA DBH Is derived from oil and gas, followed by the general mining sector at 23 percent, including coal mining. The DBH per capita and ratio of DBH per capita to revenue for East Kalimantan is more than 100 percent of the national average. The forestry DBH revenue is only 1 percent of the total DBH of natural resources (SDA). Nominally, the forestry DBH revenue of Eas</w:t>
      </w:r>
      <w:r w:rsidR="00F12B79" w:rsidRPr="009622FC">
        <w:rPr>
          <w:rFonts w:ascii="Garamond" w:hAnsi="Garamond"/>
        </w:rPr>
        <w:t>t Kalimantan province is still seven</w:t>
      </w:r>
      <w:r w:rsidRPr="009622FC">
        <w:rPr>
          <w:rFonts w:ascii="Garamond" w:hAnsi="Garamond"/>
        </w:rPr>
        <w:t xml:space="preserve"> times greater than that of West Kalimantan province, or,</w:t>
      </w:r>
      <w:r w:rsidR="00F12B79" w:rsidRPr="009622FC">
        <w:rPr>
          <w:rFonts w:ascii="Garamond" w:hAnsi="Garamond"/>
        </w:rPr>
        <w:t xml:space="preserve"> to be precise, amounting to Rp</w:t>
      </w:r>
      <w:r w:rsidRPr="009622FC">
        <w:rPr>
          <w:rFonts w:ascii="Garamond" w:hAnsi="Garamond"/>
        </w:rPr>
        <w:t>29 billion on average during 2009-</w:t>
      </w:r>
      <w:r w:rsidR="00723631" w:rsidRPr="009622FC">
        <w:rPr>
          <w:rFonts w:ascii="Garamond" w:hAnsi="Garamond"/>
        </w:rPr>
        <w:t>2011. In East Kalimantan</w:t>
      </w:r>
      <w:r w:rsidRPr="009622FC">
        <w:rPr>
          <w:rFonts w:ascii="Garamond" w:hAnsi="Garamond"/>
        </w:rPr>
        <w:t>, the</w:t>
      </w:r>
      <w:r w:rsidR="00723631" w:rsidRPr="009622FC">
        <w:rPr>
          <w:rFonts w:ascii="Garamond" w:hAnsi="Garamond"/>
        </w:rPr>
        <w:t xml:space="preserve"> sources of DBH-</w:t>
      </w:r>
      <w:r w:rsidRPr="009622FC">
        <w:rPr>
          <w:rFonts w:ascii="Garamond" w:hAnsi="Garamond"/>
        </w:rPr>
        <w:t xml:space="preserve">SDA revenue are dominated by the general mining and forestry sectors. </w:t>
      </w:r>
    </w:p>
    <w:p w:rsidR="00B42460" w:rsidRPr="009622FC" w:rsidRDefault="00B42460" w:rsidP="00B42460">
      <w:pPr>
        <w:jc w:val="both"/>
        <w:rPr>
          <w:rFonts w:ascii="Garamond" w:hAnsi="Garamond"/>
        </w:rPr>
      </w:pPr>
      <w:r w:rsidRPr="009622FC">
        <w:rPr>
          <w:rFonts w:ascii="Garamond" w:hAnsi="Garamond"/>
        </w:rPr>
        <w:lastRenderedPageBreak/>
        <w:t xml:space="preserve">West Kalimantan’s average DBH per capita from 2009-2012 was very low, below the national average, at Rp32,812, or only 7 percent of the total regional budget. Meanwhile, the national average DBH per capita in the same period </w:t>
      </w:r>
      <w:r w:rsidR="003E6557">
        <w:rPr>
          <w:rFonts w:ascii="Garamond" w:hAnsi="Garamond"/>
        </w:rPr>
        <w:t>was Rp501,573. By sector, reali</w:t>
      </w:r>
      <w:r w:rsidR="003E6557">
        <w:rPr>
          <w:rFonts w:ascii="Garamond" w:hAnsi="Garamond"/>
          <w:lang w:val="en-US"/>
        </w:rPr>
        <w:t>s</w:t>
      </w:r>
      <w:r w:rsidRPr="009622FC">
        <w:rPr>
          <w:rFonts w:ascii="Garamond" w:hAnsi="Garamond"/>
        </w:rPr>
        <w:t>ation of DBH SDA for forestry was Rp2.7 billion in 2009 and increased to Rp6.9 billion by 2011. For the general mining sector, 2009 reached 78 percent or Rp9.5 billion and fell to 47 percent or Rp3.7 billion in 2010, before rising again to 75 percent or Rp20.3 billion in 2011. In the case of West Kalimantan, high DAU revenue in the regional budget was balanced by low DBH revenue, as intended by the law on Balanced Funds introduced by the centr</w:t>
      </w:r>
      <w:r w:rsidR="003E6557">
        <w:rPr>
          <w:rFonts w:ascii="Garamond" w:hAnsi="Garamond"/>
        </w:rPr>
        <w:t>al government in the decentrali</w:t>
      </w:r>
      <w:r w:rsidR="003E6557">
        <w:rPr>
          <w:rFonts w:ascii="Garamond" w:hAnsi="Garamond"/>
          <w:lang w:val="en-US"/>
        </w:rPr>
        <w:t>s</w:t>
      </w:r>
      <w:r w:rsidRPr="009622FC">
        <w:rPr>
          <w:rFonts w:ascii="Garamond" w:hAnsi="Garamond"/>
        </w:rPr>
        <w:t>ation era.</w:t>
      </w:r>
    </w:p>
    <w:p w:rsidR="00925300" w:rsidRPr="009622FC" w:rsidRDefault="00B42460" w:rsidP="00B42460">
      <w:pPr>
        <w:jc w:val="both"/>
        <w:rPr>
          <w:rFonts w:ascii="Garamond" w:hAnsi="Garamond"/>
        </w:rPr>
      </w:pPr>
      <w:r w:rsidRPr="009622FC">
        <w:rPr>
          <w:rFonts w:ascii="Garamond" w:hAnsi="Garamond"/>
        </w:rPr>
        <w:t>Most of South Sumatra’s DBH SDA revenue is derived from DBH in the oil and gas sector at 87.9 percent, while general mining contributes 11.7 percent and forestry only 0.4 percent. The oil and gas sector has made a significant contribution to the establishment of economic structures in this province. When correlated with the contributio</w:t>
      </w:r>
      <w:r w:rsidR="009B6728" w:rsidRPr="009622FC">
        <w:rPr>
          <w:rFonts w:ascii="Garamond" w:hAnsi="Garamond"/>
        </w:rPr>
        <w:t>n of this primary sector to South Sumatra</w:t>
      </w:r>
      <w:r w:rsidRPr="009622FC">
        <w:rPr>
          <w:rFonts w:ascii="Garamond" w:hAnsi="Garamond"/>
        </w:rPr>
        <w:t xml:space="preserve">’s PDRB in 2011, it would be about 22.31 percent and, at least for the last three years, the </w:t>
      </w:r>
      <w:r w:rsidR="00273E5C" w:rsidRPr="009622FC">
        <w:rPr>
          <w:rFonts w:ascii="Garamond" w:hAnsi="Garamond"/>
        </w:rPr>
        <w:t>Graphic</w:t>
      </w:r>
      <w:r w:rsidRPr="009622FC">
        <w:rPr>
          <w:rFonts w:ascii="Garamond" w:hAnsi="Garamond"/>
        </w:rPr>
        <w:t xml:space="preserve"> has showed a growing trend. However, if the calculation of PDRB excludes the oil and gas sector, then the greatest contributing business sector to PDRB is, surprisingly, the agriculture sector, while mining and excavation rank lower in their contribution to PDRB. After agriculture, the next in rank is trade and hospitality, followed by processing industries. Together, oil and gas, agriculture and hospitality make up the three greatest contributors to South Sumatra’s PDRB.</w:t>
      </w:r>
      <w:r w:rsidRPr="009622FC">
        <w:rPr>
          <w:rFonts w:ascii="Garamond" w:hAnsi="Garamond"/>
          <w:vertAlign w:val="superscript"/>
        </w:rPr>
        <w:footnoteReference w:id="36"/>
      </w:r>
    </w:p>
    <w:p w:rsidR="00925300" w:rsidRPr="009622FC" w:rsidRDefault="00325726" w:rsidP="00B42460">
      <w:pPr>
        <w:jc w:val="both"/>
        <w:rPr>
          <w:rFonts w:ascii="Garamond" w:hAnsi="Garamond"/>
        </w:rPr>
      </w:pPr>
      <w:r>
        <w:rPr>
          <w:rFonts w:ascii="Garamond" w:hAnsi="Garamond"/>
          <w:noProof/>
          <w:lang w:val="en-US" w:eastAsia="en-US" w:bidi="ar-SA"/>
        </w:rPr>
        <w:pict>
          <v:shape id="Text Box 86" o:spid="_x0000_s1035" type="#_x0000_t202" style="position:absolute;left:0;text-align:left;margin-left:234pt;margin-top:-228.65pt;width:233.7pt;height:203.9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" fillcolor="#fac090">
            <v:textbox style="mso-next-textbox:#Text Box 86">
              <w:txbxContent>
                <w:p w:rsidR="005E5906" w:rsidRPr="00C13733" w:rsidRDefault="005E5906" w:rsidP="00851E8A">
                  <w:pPr>
                    <w:rPr>
                      <w:b/>
                      <w:szCs w:val="24"/>
                      <w:lang w:val="en-US"/>
                    </w:rPr>
                  </w:pPr>
                  <w:r>
                    <w:rPr>
                      <w:b/>
                      <w:szCs w:val="24"/>
                      <w:lang w:val="en-US"/>
                    </w:rPr>
                    <w:t>Box</w:t>
                  </w:r>
                  <w:r>
                    <w:rPr>
                      <w:b/>
                      <w:szCs w:val="24"/>
                    </w:rPr>
                    <w:t xml:space="preserve"> 3.1</w:t>
                  </w:r>
                  <w:r w:rsidRPr="00C13733">
                    <w:rPr>
                      <w:b/>
                      <w:szCs w:val="24"/>
                      <w:lang w:val="en-US"/>
                    </w:rPr>
                    <w:t xml:space="preserve"> </w:t>
                  </w:r>
                  <w:r>
                    <w:rPr>
                      <w:b/>
                      <w:szCs w:val="24"/>
                      <w:lang w:val="en-US"/>
                    </w:rPr>
                    <w:t>Balanced Funds for Reducing Fiscal Gap</w:t>
                  </w:r>
                  <w:r w:rsidRPr="00C13733">
                    <w:rPr>
                      <w:b/>
                      <w:szCs w:val="24"/>
                      <w:lang w:val="en-US"/>
                    </w:rPr>
                    <w:t xml:space="preserve"> </w:t>
                  </w:r>
                </w:p>
                <w:p w:rsidR="005E5906" w:rsidRDefault="005E5906" w:rsidP="00851E8A">
                  <w:pPr>
                    <w:jc w:val="both"/>
                    <w:rPr>
                      <w:sz w:val="20"/>
                      <w:szCs w:val="24"/>
                    </w:rPr>
                  </w:pPr>
                  <w:r>
                    <w:rPr>
                      <w:sz w:val="20"/>
                      <w:szCs w:val="24"/>
                      <w:lang w:val="en-US"/>
                    </w:rPr>
                    <w:t>Law</w:t>
                  </w:r>
                  <w:r w:rsidRPr="00835B97">
                    <w:rPr>
                      <w:sz w:val="20"/>
                      <w:szCs w:val="24"/>
                    </w:rPr>
                    <w:t xml:space="preserve"> No. 33/2004 </w:t>
                  </w:r>
                  <w:r>
                    <w:rPr>
                      <w:sz w:val="20"/>
                      <w:szCs w:val="24"/>
                    </w:rPr>
                    <w:t>on</w:t>
                  </w:r>
                  <w:r w:rsidRPr="00835B97">
                    <w:rPr>
                      <w:sz w:val="20"/>
                      <w:szCs w:val="24"/>
                    </w:rPr>
                    <w:t xml:space="preserve"> </w:t>
                  </w:r>
                  <w:r>
                    <w:rPr>
                      <w:sz w:val="20"/>
                      <w:szCs w:val="24"/>
                    </w:rPr>
                    <w:t>Balanced Funds between the Central and Regional Governments</w:t>
                  </w:r>
                  <w:r>
                    <w:rPr>
                      <w:sz w:val="20"/>
                      <w:szCs w:val="24"/>
                      <w:lang w:val="en-US"/>
                    </w:rPr>
                    <w:t xml:space="preserve"> Explains that Balanced Funds are funds sourced from APBN income</w:t>
                  </w:r>
                  <w:r w:rsidRPr="00835B97">
                    <w:rPr>
                      <w:sz w:val="20"/>
                      <w:szCs w:val="24"/>
                    </w:rPr>
                    <w:t xml:space="preserve"> </w:t>
                  </w:r>
                  <w:r>
                    <w:rPr>
                      <w:sz w:val="20"/>
                      <w:szCs w:val="24"/>
                    </w:rPr>
                    <w:t>which is allocated to the regions to fund local needs, in the context of implementing decentralization. The objective is to reduce the fiscal gap between the central and regional governments, and among regional governments. Therefore, the increase of DBH is always accompanied by a reduction in DAU and vice versa.</w:t>
                  </w:r>
                </w:p>
                <w:p w:rsidR="005E5906" w:rsidRPr="00FA3F12" w:rsidRDefault="005E5906" w:rsidP="00851E8A">
                  <w:pPr>
                    <w:jc w:val="both"/>
                    <w:rPr>
                      <w:sz w:val="20"/>
                      <w:szCs w:val="24"/>
                    </w:rPr>
                  </w:pPr>
                  <w:r w:rsidRPr="00835B97">
                    <w:rPr>
                      <w:sz w:val="20"/>
                      <w:szCs w:val="24"/>
                      <w:lang w:val="en-US"/>
                    </w:rPr>
                    <w:t>(Fadliya and Ross H. McLeod 2010)</w:t>
                  </w:r>
                </w:p>
              </w:txbxContent>
            </v:textbox>
            <w10:wrap type="square" anchorx="margin"/>
          </v:shape>
        </w:pict>
      </w:r>
    </w:p>
    <w:p w:rsidR="00B42460" w:rsidRPr="009622FC" w:rsidRDefault="00925300" w:rsidP="003B6BAE">
      <w:pPr>
        <w:spacing w:after="0" w:line="240" w:lineRule="auto"/>
        <w:rPr>
          <w:rFonts w:ascii="Garamond" w:hAnsi="Garamond"/>
        </w:rPr>
      </w:pPr>
      <w:r w:rsidRPr="009622FC">
        <w:rPr>
          <w:rFonts w:ascii="Garamond" w:hAnsi="Garamond"/>
        </w:rPr>
        <w:br w:type="page"/>
      </w:r>
    </w:p>
    <w:p w:rsidR="00B42460" w:rsidRPr="009622FC" w:rsidRDefault="00273E5C" w:rsidP="00B42460">
      <w:pPr>
        <w:jc w:val="center"/>
        <w:rPr>
          <w:rFonts w:ascii="Garamond" w:hAnsi="Garamond"/>
        </w:rPr>
      </w:pPr>
      <w:r w:rsidRPr="009622FC">
        <w:rPr>
          <w:rFonts w:ascii="Garamond" w:hAnsi="Garamond"/>
          <w:b/>
          <w:color w:val="000000"/>
        </w:rPr>
        <w:lastRenderedPageBreak/>
        <w:t>Graphic</w:t>
      </w:r>
      <w:r w:rsidR="00B42460" w:rsidRPr="009622FC">
        <w:rPr>
          <w:rFonts w:ascii="Garamond" w:hAnsi="Garamond"/>
          <w:b/>
          <w:color w:val="000000"/>
        </w:rPr>
        <w:t xml:space="preserve"> 3.5 Composition of DBH-SDA by Province, 2009-2011</w:t>
      </w:r>
    </w:p>
    <w:p w:rsidR="00B42460" w:rsidRPr="009622FC" w:rsidRDefault="00805913" w:rsidP="00925300">
      <w:pPr>
        <w:jc w:val="center"/>
        <w:rPr>
          <w:rFonts w:ascii="Garamond" w:hAnsi="Garamond"/>
        </w:rPr>
      </w:pPr>
      <w:r w:rsidRPr="009622FC">
        <w:rPr>
          <w:rFonts w:ascii="Garamond" w:hAnsi="Garamond"/>
          <w:noProof/>
          <w:lang w:val="en-US" w:eastAsia="en-US" w:bidi="ar-SA"/>
        </w:rPr>
        <w:drawing>
          <wp:inline distT="0" distB="0" distL="0" distR="0">
            <wp:extent cx="5605470" cy="3398122"/>
            <wp:effectExtent l="25400" t="25400" r="7930" b="5478"/>
            <wp:docPr id="8" name="C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2460" w:rsidRPr="009622FC" w:rsidRDefault="00B42460" w:rsidP="00B42460">
      <w:pPr>
        <w:jc w:val="both"/>
        <w:rPr>
          <w:rFonts w:ascii="Garamond" w:hAnsi="Garamond"/>
        </w:rPr>
      </w:pPr>
      <w:r w:rsidRPr="009622FC">
        <w:rPr>
          <w:rFonts w:ascii="Garamond" w:hAnsi="Garamond"/>
        </w:rPr>
        <w:t xml:space="preserve">The greatest oil and gas revenue shares among the study areas were found in Musi Banyuasin and Musi Rawas districts, at almost 95 percent. They were followed by Berau and Bulungan districts, which received over 50 percent, and Kubu Raya district with only 33 percent. Despite its fairly high percentage, nominally, the oil and gas revenue share in Kubu Raya is insignificant compared to the provinces of East Kalimantan and South Sumatra. </w:t>
      </w:r>
    </w:p>
    <w:p w:rsidR="00B42460" w:rsidRPr="009622FC" w:rsidRDefault="00273E5C" w:rsidP="00B42460">
      <w:pPr>
        <w:jc w:val="center"/>
        <w:rPr>
          <w:rFonts w:ascii="Garamond" w:hAnsi="Garamond"/>
          <w:b/>
        </w:rPr>
      </w:pPr>
      <w:r w:rsidRPr="009622FC">
        <w:rPr>
          <w:rFonts w:ascii="Garamond" w:hAnsi="Garamond"/>
          <w:b/>
        </w:rPr>
        <w:t>Graphic</w:t>
      </w:r>
      <w:r w:rsidR="000D1F88" w:rsidRPr="009622FC">
        <w:rPr>
          <w:rFonts w:ascii="Garamond" w:hAnsi="Garamond"/>
          <w:b/>
        </w:rPr>
        <w:t xml:space="preserve"> 3.6 </w:t>
      </w:r>
      <w:r w:rsidR="00B42460" w:rsidRPr="009622FC">
        <w:rPr>
          <w:rFonts w:ascii="Garamond" w:hAnsi="Garamond"/>
          <w:b/>
        </w:rPr>
        <w:t>Composition of Revenue from Natural Resources by Province, 2009-2012</w:t>
      </w:r>
    </w:p>
    <w:p w:rsidR="00B42460" w:rsidRPr="009622FC" w:rsidRDefault="003C2760" w:rsidP="004808CB">
      <w:pPr>
        <w:jc w:val="center"/>
        <w:rPr>
          <w:rFonts w:ascii="Garamond" w:hAnsi="Garamond"/>
          <w:b/>
        </w:rPr>
      </w:pPr>
      <w:r w:rsidRPr="009622FC">
        <w:rPr>
          <w:rFonts w:ascii="Garamond" w:hAnsi="Garamond"/>
          <w:b/>
          <w:noProof/>
          <w:lang w:val="en-US" w:eastAsia="en-US" w:bidi="ar-SA"/>
        </w:rPr>
        <w:drawing>
          <wp:inline distT="0" distB="0" distL="0" distR="0">
            <wp:extent cx="5791200" cy="2924175"/>
            <wp:effectExtent l="19050" t="0" r="19050" b="0"/>
            <wp:docPr id="41" name="C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2460" w:rsidRPr="009622FC" w:rsidRDefault="00B42460" w:rsidP="00B42460">
      <w:pPr>
        <w:jc w:val="both"/>
        <w:rPr>
          <w:rFonts w:ascii="Garamond" w:hAnsi="Garamond"/>
        </w:rPr>
      </w:pPr>
      <w:r w:rsidRPr="009622FC">
        <w:rPr>
          <w:rFonts w:ascii="Garamond" w:hAnsi="Garamond"/>
          <w:b/>
        </w:rPr>
        <w:t>Differences appear in the records betwee</w:t>
      </w:r>
      <w:r w:rsidR="009B6728" w:rsidRPr="009622FC">
        <w:rPr>
          <w:rFonts w:ascii="Garamond" w:hAnsi="Garamond"/>
          <w:b/>
        </w:rPr>
        <w:t>n APBN and APBD in terms of DBH-</w:t>
      </w:r>
      <w:r w:rsidRPr="009622FC">
        <w:rPr>
          <w:rFonts w:ascii="Garamond" w:hAnsi="Garamond"/>
          <w:b/>
        </w:rPr>
        <w:t xml:space="preserve">SDA Forestry. </w:t>
      </w:r>
      <w:r w:rsidR="009B6728" w:rsidRPr="009622FC">
        <w:rPr>
          <w:rFonts w:ascii="Garamond" w:hAnsi="Garamond"/>
        </w:rPr>
        <w:t>DBH-</w:t>
      </w:r>
      <w:r w:rsidRPr="009622FC">
        <w:rPr>
          <w:rFonts w:ascii="Garamond" w:hAnsi="Garamond"/>
        </w:rPr>
        <w:t xml:space="preserve">SDA Forestry is a kind of Profit-Sharing Fund (DBH) in the balanced fund category, the source of which is APBN budget revenue, which is then distributed under a revenue-sharing scheme to regional governments by certain percentage points. In the APBN bookkeeping system, DBH forestry is classified </w:t>
      </w:r>
      <w:r w:rsidRPr="009622FC">
        <w:rPr>
          <w:rFonts w:ascii="Garamond" w:hAnsi="Garamond"/>
        </w:rPr>
        <w:lastRenderedPageBreak/>
        <w:t>as central transfer spending as a balanced fund group. In APBD bookkeeping, however, DBH forestry is recorded as regional revenue. Since this money leaves the pocket of the APBN and then enters the pocket of the APBD, the amount paid by APBN and received by APBD should be the same. However, th</w:t>
      </w:r>
      <w:r w:rsidR="009B6728" w:rsidRPr="009622FC">
        <w:rPr>
          <w:rFonts w:ascii="Garamond" w:hAnsi="Garamond"/>
        </w:rPr>
        <w:t>is study f</w:t>
      </w:r>
      <w:r w:rsidRPr="009622FC">
        <w:rPr>
          <w:rFonts w:ascii="Garamond" w:hAnsi="Garamond"/>
        </w:rPr>
        <w:t>ound that there has been a difference in the number recorded in APBN and APBD b</w:t>
      </w:r>
      <w:r w:rsidR="009B6728" w:rsidRPr="009622FC">
        <w:rPr>
          <w:rFonts w:ascii="Garamond" w:hAnsi="Garamond"/>
        </w:rPr>
        <w:t xml:space="preserve">ookkeepings. This discrepancy </w:t>
      </w:r>
      <w:r w:rsidRPr="009622FC">
        <w:rPr>
          <w:rFonts w:ascii="Garamond" w:hAnsi="Garamond"/>
        </w:rPr>
        <w:t>occurs only in DB</w:t>
      </w:r>
      <w:r w:rsidR="009B6728" w:rsidRPr="009622FC">
        <w:rPr>
          <w:rFonts w:ascii="Garamond" w:hAnsi="Garamond"/>
        </w:rPr>
        <w:t>H Forestry and not in other DBH-</w:t>
      </w:r>
      <w:r w:rsidRPr="009622FC">
        <w:rPr>
          <w:rFonts w:ascii="Garamond" w:hAnsi="Garamond"/>
        </w:rPr>
        <w:t>SDAs. This difference occurre</w:t>
      </w:r>
      <w:r w:rsidR="003E6557">
        <w:rPr>
          <w:rFonts w:ascii="Garamond" w:hAnsi="Garamond"/>
        </w:rPr>
        <w:t>d in the 2009-2011 budget reali</w:t>
      </w:r>
      <w:r w:rsidR="003E6557">
        <w:rPr>
          <w:rFonts w:ascii="Garamond" w:hAnsi="Garamond"/>
          <w:lang w:val="en-US"/>
        </w:rPr>
        <w:t>s</w:t>
      </w:r>
      <w:r w:rsidRPr="009622FC">
        <w:rPr>
          <w:rFonts w:ascii="Garamond" w:hAnsi="Garamond"/>
        </w:rPr>
        <w:t xml:space="preserve">ation. </w:t>
      </w:r>
      <w:r w:rsidR="00273E5C" w:rsidRPr="009622FC">
        <w:rPr>
          <w:rFonts w:ascii="Garamond" w:hAnsi="Garamond"/>
        </w:rPr>
        <w:t>Graphic</w:t>
      </w:r>
      <w:r w:rsidRPr="009622FC">
        <w:rPr>
          <w:rFonts w:ascii="Garamond" w:hAnsi="Garamond"/>
        </w:rPr>
        <w:t xml:space="preserve"> 3.7 below illustrates this finding.</w:t>
      </w:r>
    </w:p>
    <w:p w:rsidR="00B42460" w:rsidRPr="009622FC" w:rsidRDefault="00273E5C" w:rsidP="00B42460">
      <w:pPr>
        <w:jc w:val="center"/>
        <w:rPr>
          <w:rFonts w:ascii="Garamond" w:hAnsi="Garamond"/>
          <w:b/>
        </w:rPr>
      </w:pPr>
      <w:r w:rsidRPr="009622FC">
        <w:rPr>
          <w:rFonts w:ascii="Garamond" w:hAnsi="Garamond"/>
          <w:b/>
        </w:rPr>
        <w:t>Graphic</w:t>
      </w:r>
      <w:r w:rsidR="000D1F88" w:rsidRPr="009622FC">
        <w:rPr>
          <w:rFonts w:ascii="Garamond" w:hAnsi="Garamond"/>
          <w:b/>
        </w:rPr>
        <w:t xml:space="preserve"> 3.7 </w:t>
      </w:r>
      <w:r w:rsidR="005418E1">
        <w:rPr>
          <w:rFonts w:ascii="Garamond" w:hAnsi="Garamond"/>
          <w:b/>
        </w:rPr>
        <w:t>Transferred Budget and Reali</w:t>
      </w:r>
      <w:r w:rsidR="005418E1">
        <w:rPr>
          <w:rFonts w:ascii="Garamond" w:hAnsi="Garamond"/>
          <w:b/>
          <w:lang w:val="en-US"/>
        </w:rPr>
        <w:t>s</w:t>
      </w:r>
      <w:r w:rsidR="00B42460" w:rsidRPr="009622FC">
        <w:rPr>
          <w:rFonts w:ascii="Garamond" w:hAnsi="Garamond"/>
          <w:b/>
        </w:rPr>
        <w:t>ed Budget for Forest Resources, 2009-2011</w:t>
      </w:r>
    </w:p>
    <w:p w:rsidR="00B42460" w:rsidRPr="009622FC" w:rsidRDefault="00805913" w:rsidP="00B42460">
      <w:pPr>
        <w:jc w:val="center"/>
        <w:rPr>
          <w:rFonts w:ascii="Garamond" w:hAnsi="Garamond"/>
        </w:rPr>
      </w:pPr>
      <w:r w:rsidRPr="009622FC">
        <w:rPr>
          <w:rFonts w:ascii="Garamond" w:hAnsi="Garamond"/>
          <w:noProof/>
          <w:lang w:val="en-US" w:eastAsia="en-US" w:bidi="ar-SA"/>
        </w:rPr>
        <w:drawing>
          <wp:inline distT="0" distB="0" distL="0" distR="0">
            <wp:extent cx="4355559" cy="2383983"/>
            <wp:effectExtent l="9674" t="4898" r="4837" b="3164"/>
            <wp:docPr id="10" name="C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42460" w:rsidRPr="0048683C" w:rsidRDefault="00B42460" w:rsidP="00B42460">
      <w:pPr>
        <w:jc w:val="both"/>
        <w:rPr>
          <w:rFonts w:ascii="Garamond" w:hAnsi="Garamond"/>
          <w:lang w:val="en-US"/>
        </w:rPr>
      </w:pPr>
      <w:r w:rsidRPr="009622FC">
        <w:rPr>
          <w:rFonts w:ascii="Garamond" w:hAnsi="Garamond"/>
        </w:rPr>
        <w:t>Berau district showed an extreme difference in recording in 2009, with almost Rp50 billion. Meanwhile, Musi Rawas district showed a difference of about Rp2 billion a year. This difference in recording indicates how weak the public financial management and financial accountability systems are at both the central and regional levels of government. These findings seemed to occur not only during</w:t>
      </w:r>
      <w:r w:rsidR="000537C9" w:rsidRPr="009622FC">
        <w:rPr>
          <w:rFonts w:ascii="Garamond" w:hAnsi="Garamond"/>
        </w:rPr>
        <w:t xml:space="preserve"> the</w:t>
      </w:r>
      <w:r w:rsidRPr="009622FC">
        <w:rPr>
          <w:rFonts w:ascii="Garamond" w:hAnsi="Garamond"/>
        </w:rPr>
        <w:t xml:space="preserve"> 2009-2011 period. The State Audit Agency’s (BPK) findings as contained in the 2008 review of audit fiscal transparency No. 25/05/LHP/XV/05/2009 dated May 20, 2009, identified the same during</w:t>
      </w:r>
      <w:r w:rsidR="000537C9" w:rsidRPr="009622FC">
        <w:rPr>
          <w:rFonts w:ascii="Garamond" w:hAnsi="Garamond"/>
        </w:rPr>
        <w:t xml:space="preserve"> the</w:t>
      </w:r>
      <w:r w:rsidRPr="009622FC">
        <w:rPr>
          <w:rFonts w:ascii="Garamond" w:hAnsi="Garamond"/>
        </w:rPr>
        <w:t xml:space="preserve"> 2008 budget year. In this report, it is stated that the exercise of the central government’s roles and responsibilities in fiscal management has many weaknesses, such as the absence of a consolidation mechanism for Regional Government Financial Statements (LKPD) and low fiscal transparency at the regional government level. </w:t>
      </w:r>
      <w:r w:rsidR="000537C9" w:rsidRPr="009622FC">
        <w:rPr>
          <w:rFonts w:ascii="Garamond" w:hAnsi="Garamond"/>
        </w:rPr>
        <w:t>For this reason, BPK recommended</w:t>
      </w:r>
      <w:r w:rsidRPr="009622FC">
        <w:rPr>
          <w:rFonts w:ascii="Garamond" w:hAnsi="Garamond"/>
        </w:rPr>
        <w:t xml:space="preserve"> consolidation of the Regional Government Financial Statements (LKPD) and Regional Transfer Financial Statements (LKTD), with the aim of improving state financial management transparency and accountability.</w:t>
      </w:r>
      <w:r w:rsidRPr="009622FC">
        <w:rPr>
          <w:rFonts w:ascii="Garamond" w:hAnsi="Garamond"/>
          <w:vertAlign w:val="superscript"/>
        </w:rPr>
        <w:footnoteReference w:id="37"/>
      </w:r>
      <w:r w:rsidRPr="009622FC">
        <w:rPr>
          <w:rFonts w:ascii="Garamond" w:hAnsi="Garamond"/>
        </w:rPr>
        <w:t xml:space="preserve"> It seems that this recommendation made in 2009 has not yet received a response from the central government, causing this difference in recording to persist through 2011. Weak public financial management at both central and regional levels raises the likelihood of losing state revenue, for example as happens on a massive scale in the natural resources sector.</w:t>
      </w:r>
      <w:r w:rsidRPr="009622FC">
        <w:rPr>
          <w:rStyle w:val="FootnoteReference"/>
          <w:rFonts w:ascii="Garamond" w:hAnsi="Garamond"/>
          <w:lang w:val="en-US"/>
        </w:rPr>
        <w:footnoteReference w:id="38"/>
      </w:r>
    </w:p>
    <w:p w:rsidR="00B42460" w:rsidRPr="009622FC" w:rsidRDefault="00B42460" w:rsidP="00B42460">
      <w:pPr>
        <w:jc w:val="both"/>
        <w:rPr>
          <w:rFonts w:ascii="Garamond" w:hAnsi="Garamond"/>
          <w:b/>
          <w:u w:val="single"/>
          <w:lang w:val="en-US"/>
        </w:rPr>
      </w:pPr>
      <w:r w:rsidRPr="009622FC">
        <w:rPr>
          <w:rFonts w:ascii="Garamond" w:hAnsi="Garamond"/>
          <w:b/>
          <w:u w:val="single"/>
        </w:rPr>
        <w:t>3.2 Markdown Symptoms and Revenue Politi</w:t>
      </w:r>
      <w:r w:rsidR="005418E1">
        <w:rPr>
          <w:rFonts w:ascii="Garamond" w:hAnsi="Garamond"/>
          <w:b/>
          <w:u w:val="single"/>
        </w:rPr>
        <w:t>ci</w:t>
      </w:r>
      <w:r w:rsidR="005418E1">
        <w:rPr>
          <w:rFonts w:ascii="Garamond" w:hAnsi="Garamond"/>
          <w:b/>
          <w:u w:val="single"/>
          <w:lang w:val="en-US"/>
        </w:rPr>
        <w:t>s</w:t>
      </w:r>
      <w:r w:rsidRPr="009622FC">
        <w:rPr>
          <w:rFonts w:ascii="Garamond" w:hAnsi="Garamond"/>
          <w:b/>
          <w:u w:val="single"/>
        </w:rPr>
        <w:t xml:space="preserve">ation </w:t>
      </w:r>
    </w:p>
    <w:p w:rsidR="00B42460" w:rsidRDefault="00B42460" w:rsidP="00B42460">
      <w:pPr>
        <w:jc w:val="both"/>
        <w:rPr>
          <w:rFonts w:ascii="Garamond" w:hAnsi="Garamond"/>
          <w:lang w:val="en-US"/>
        </w:rPr>
      </w:pPr>
      <w:r w:rsidRPr="009622FC">
        <w:rPr>
          <w:rFonts w:ascii="Garamond" w:hAnsi="Garamond"/>
          <w:b/>
        </w:rPr>
        <w:t>Regional revenue growth in nominal terms is increasing, but in reality such increases occur only at the provincial level.</w:t>
      </w:r>
      <w:r w:rsidRPr="009622FC">
        <w:rPr>
          <w:rFonts w:ascii="Garamond" w:hAnsi="Garamond"/>
          <w:b/>
          <w:i/>
        </w:rPr>
        <w:t xml:space="preserve"> </w:t>
      </w:r>
      <w:r w:rsidRPr="009622FC">
        <w:rPr>
          <w:rFonts w:ascii="Garamond" w:hAnsi="Garamond"/>
        </w:rPr>
        <w:t xml:space="preserve">Among the three provinces studied, West Kalimantan showed the strongest real regional revenue growth from 2009-2012. From 2010, this province saw constant growth through 2012, growing from 8.6 percent to 25.4 percent. </w:t>
      </w:r>
    </w:p>
    <w:p w:rsidR="0048683C" w:rsidRDefault="0048683C" w:rsidP="00B42460">
      <w:pPr>
        <w:jc w:val="both"/>
        <w:rPr>
          <w:rFonts w:ascii="Garamond" w:hAnsi="Garamond"/>
          <w:lang w:val="en-US"/>
        </w:rPr>
      </w:pPr>
    </w:p>
    <w:p w:rsidR="0048683C" w:rsidRPr="0048683C" w:rsidRDefault="0048683C" w:rsidP="00B42460">
      <w:pPr>
        <w:jc w:val="both"/>
        <w:rPr>
          <w:rFonts w:ascii="Garamond" w:hAnsi="Garamond"/>
          <w:lang w:val="en-US"/>
        </w:rPr>
      </w:pPr>
    </w:p>
    <w:p w:rsidR="00B42460" w:rsidRDefault="00273E5C" w:rsidP="005418E1">
      <w:pPr>
        <w:spacing w:after="0"/>
        <w:jc w:val="center"/>
        <w:rPr>
          <w:rFonts w:ascii="Garamond" w:hAnsi="Garamond"/>
          <w:b/>
          <w:lang w:val="en-US"/>
        </w:rPr>
      </w:pPr>
      <w:r w:rsidRPr="009622FC">
        <w:rPr>
          <w:rFonts w:ascii="Garamond" w:hAnsi="Garamond"/>
          <w:b/>
        </w:rPr>
        <w:lastRenderedPageBreak/>
        <w:t>Graphic</w:t>
      </w:r>
      <w:r w:rsidR="000D1F88" w:rsidRPr="009622FC">
        <w:rPr>
          <w:rFonts w:ascii="Garamond" w:hAnsi="Garamond"/>
          <w:b/>
        </w:rPr>
        <w:t xml:space="preserve"> 3.8 </w:t>
      </w:r>
      <w:r w:rsidR="00B42460" w:rsidRPr="009622FC">
        <w:rPr>
          <w:rFonts w:ascii="Garamond" w:hAnsi="Garamond"/>
          <w:b/>
        </w:rPr>
        <w:t>Provincial Revenue and Growth, 2009-2012</w:t>
      </w:r>
    </w:p>
    <w:p w:rsidR="005418E1" w:rsidRPr="005418E1" w:rsidRDefault="005418E1" w:rsidP="005418E1">
      <w:pPr>
        <w:spacing w:after="0"/>
        <w:jc w:val="center"/>
        <w:rPr>
          <w:rFonts w:ascii="Garamond" w:hAnsi="Garamond"/>
          <w:b/>
          <w:lang w:val="en-US"/>
        </w:rPr>
      </w:pPr>
    </w:p>
    <w:p w:rsidR="00B42460" w:rsidRPr="009622FC" w:rsidRDefault="00805913" w:rsidP="00B42460">
      <w:pPr>
        <w:jc w:val="both"/>
        <w:rPr>
          <w:rFonts w:ascii="Garamond" w:hAnsi="Garamond"/>
        </w:rPr>
      </w:pPr>
      <w:r w:rsidRPr="009622FC">
        <w:rPr>
          <w:rFonts w:ascii="Garamond" w:hAnsi="Garamond"/>
          <w:noProof/>
          <w:lang w:val="en-US" w:eastAsia="en-US" w:bidi="ar-SA"/>
        </w:rPr>
        <w:drawing>
          <wp:inline distT="0" distB="0" distL="0" distR="0">
            <wp:extent cx="5489067" cy="2322068"/>
            <wp:effectExtent l="12192" t="6096" r="6096" b="381"/>
            <wp:docPr id="11" name="C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B6BAE" w:rsidRPr="009622FC" w:rsidRDefault="00B42460" w:rsidP="00B42460">
      <w:pPr>
        <w:jc w:val="both"/>
        <w:rPr>
          <w:rFonts w:ascii="Garamond" w:hAnsi="Garamond"/>
        </w:rPr>
      </w:pPr>
      <w:r w:rsidRPr="009622FC">
        <w:rPr>
          <w:rFonts w:ascii="Garamond" w:hAnsi="Garamond"/>
        </w:rPr>
        <w:t xml:space="preserve">Meanwhile, regional revenue growth at the district level from 2009-2012 was in significant decline. Musi Banyuasin district went into serious decline, particularly from 2010-2011, when it decreased from 55 percent to 18 percent, followed by Kubu Raya and Musi Rawas districts with their declines in growth from between 2-5 percent. A drastic decline was only experienced by Musi Banyuasin district, due to the highly unpredictable balanced fund budget policy, particularly in Profit-Sharing Funds (DBH) of natural resources (SDA), which tends to produce inaccurate projections. In 2012, several regional revenue components were projected to be lower, such as Other Revenues (LPDS), and some types of Regional Tax. At the same time, three other districts during 2010-2011 witnessed an increase in their regional revenue growth of 5-44 percent, namely the districts of Sintang, Bulungan and Berau. Nevertheless, in 2012 revenue growth in all districts declined drastically, reaching negative growth, except in the case of Kubu Raya district. </w:t>
      </w:r>
    </w:p>
    <w:p w:rsidR="003B6BAE" w:rsidRPr="009622FC" w:rsidRDefault="003B6BAE" w:rsidP="00B42460">
      <w:pPr>
        <w:jc w:val="both"/>
        <w:rPr>
          <w:rFonts w:ascii="Garamond" w:hAnsi="Garamond"/>
        </w:rPr>
      </w:pPr>
    </w:p>
    <w:p w:rsidR="003B6BAE" w:rsidRPr="009622FC" w:rsidRDefault="003B6BAE" w:rsidP="00B42460">
      <w:pPr>
        <w:jc w:val="both"/>
        <w:rPr>
          <w:rFonts w:ascii="Garamond" w:hAnsi="Garamond"/>
        </w:rPr>
      </w:pPr>
    </w:p>
    <w:p w:rsidR="003B6BAE" w:rsidRPr="009622FC" w:rsidRDefault="003B6BAE" w:rsidP="00B42460">
      <w:pPr>
        <w:jc w:val="both"/>
        <w:rPr>
          <w:rFonts w:ascii="Garamond" w:hAnsi="Garamond"/>
        </w:rPr>
      </w:pPr>
    </w:p>
    <w:p w:rsidR="003B6BAE" w:rsidRPr="009622FC" w:rsidRDefault="003B6BAE" w:rsidP="00B42460">
      <w:pPr>
        <w:jc w:val="both"/>
        <w:rPr>
          <w:rFonts w:ascii="Garamond" w:hAnsi="Garamond"/>
        </w:rPr>
      </w:pPr>
    </w:p>
    <w:p w:rsidR="003B6BAE" w:rsidRPr="009622FC" w:rsidRDefault="003B6BAE" w:rsidP="00B42460">
      <w:pPr>
        <w:jc w:val="both"/>
        <w:rPr>
          <w:rFonts w:ascii="Garamond" w:hAnsi="Garamond"/>
        </w:rPr>
      </w:pPr>
    </w:p>
    <w:p w:rsidR="003B6BAE" w:rsidRPr="009622FC" w:rsidRDefault="003B6BAE" w:rsidP="00B42460">
      <w:pPr>
        <w:jc w:val="both"/>
        <w:rPr>
          <w:rFonts w:ascii="Garamond" w:hAnsi="Garamond"/>
        </w:rPr>
      </w:pPr>
    </w:p>
    <w:p w:rsidR="00025378" w:rsidRPr="009622FC" w:rsidRDefault="00025378" w:rsidP="00B42460">
      <w:pPr>
        <w:jc w:val="both"/>
        <w:rPr>
          <w:rFonts w:ascii="Garamond" w:hAnsi="Garamond"/>
        </w:rPr>
      </w:pPr>
    </w:p>
    <w:p w:rsidR="000D1F88" w:rsidRDefault="000D1F88" w:rsidP="00B42460">
      <w:pPr>
        <w:jc w:val="both"/>
        <w:rPr>
          <w:rFonts w:ascii="Garamond" w:hAnsi="Garamond"/>
          <w:lang w:val="en-US"/>
        </w:rPr>
      </w:pPr>
    </w:p>
    <w:p w:rsidR="0048683C" w:rsidRDefault="0048683C" w:rsidP="00B42460">
      <w:pPr>
        <w:jc w:val="both"/>
        <w:rPr>
          <w:rFonts w:ascii="Garamond" w:hAnsi="Garamond"/>
          <w:lang w:val="en-US"/>
        </w:rPr>
      </w:pPr>
    </w:p>
    <w:p w:rsidR="0048683C" w:rsidRDefault="0048683C" w:rsidP="00B42460">
      <w:pPr>
        <w:jc w:val="both"/>
        <w:rPr>
          <w:rFonts w:ascii="Garamond" w:hAnsi="Garamond"/>
          <w:lang w:val="en-US"/>
        </w:rPr>
      </w:pPr>
    </w:p>
    <w:p w:rsidR="0048683C" w:rsidRDefault="0048683C" w:rsidP="00B42460">
      <w:pPr>
        <w:jc w:val="both"/>
        <w:rPr>
          <w:rFonts w:ascii="Garamond" w:hAnsi="Garamond"/>
          <w:lang w:val="en-US"/>
        </w:rPr>
      </w:pPr>
    </w:p>
    <w:p w:rsidR="0048683C" w:rsidRDefault="0048683C" w:rsidP="00B42460">
      <w:pPr>
        <w:jc w:val="both"/>
        <w:rPr>
          <w:rFonts w:ascii="Garamond" w:hAnsi="Garamond"/>
          <w:lang w:val="en-US"/>
        </w:rPr>
      </w:pPr>
    </w:p>
    <w:p w:rsidR="0048683C" w:rsidRPr="0048683C" w:rsidRDefault="0048683C" w:rsidP="00B42460">
      <w:pPr>
        <w:jc w:val="both"/>
        <w:rPr>
          <w:rFonts w:ascii="Garamond" w:hAnsi="Garamond"/>
          <w:lang w:val="en-US"/>
        </w:rPr>
      </w:pPr>
    </w:p>
    <w:p w:rsidR="00B42460" w:rsidRPr="009622FC" w:rsidRDefault="00B42460" w:rsidP="00B42460">
      <w:pPr>
        <w:jc w:val="both"/>
        <w:rPr>
          <w:rFonts w:ascii="Garamond" w:hAnsi="Garamond"/>
        </w:rPr>
      </w:pPr>
    </w:p>
    <w:p w:rsidR="00B42460" w:rsidRPr="009622FC" w:rsidRDefault="00273E5C" w:rsidP="00B42460">
      <w:pPr>
        <w:jc w:val="center"/>
        <w:rPr>
          <w:rFonts w:ascii="Garamond" w:hAnsi="Garamond"/>
          <w:b/>
          <w:lang w:val="en-US"/>
        </w:rPr>
      </w:pPr>
      <w:r w:rsidRPr="009622FC">
        <w:rPr>
          <w:rFonts w:ascii="Garamond" w:hAnsi="Garamond"/>
          <w:b/>
          <w:lang w:val="en-US"/>
        </w:rPr>
        <w:lastRenderedPageBreak/>
        <w:t>Graphic</w:t>
      </w:r>
      <w:r w:rsidR="000D1F88" w:rsidRPr="009622FC">
        <w:rPr>
          <w:rFonts w:ascii="Garamond" w:hAnsi="Garamond"/>
          <w:b/>
          <w:lang w:val="en-US"/>
        </w:rPr>
        <w:t xml:space="preserve"> 3.9 </w:t>
      </w:r>
      <w:r w:rsidR="00B42460" w:rsidRPr="009622FC">
        <w:rPr>
          <w:rFonts w:ascii="Garamond" w:hAnsi="Garamond"/>
          <w:b/>
          <w:lang w:val="en-US"/>
        </w:rPr>
        <w:t>District Revenue and Growth, 2009-2012</w:t>
      </w:r>
    </w:p>
    <w:p w:rsidR="00B42460" w:rsidRPr="009622FC" w:rsidRDefault="00805913" w:rsidP="00B42460">
      <w:pPr>
        <w:jc w:val="center"/>
        <w:rPr>
          <w:rFonts w:ascii="Garamond" w:hAnsi="Garamond"/>
          <w:b/>
          <w:noProof/>
          <w:lang w:val="en-US" w:eastAsia="en-US" w:bidi="ar-SA"/>
        </w:rPr>
      </w:pPr>
      <w:r w:rsidRPr="009622FC">
        <w:rPr>
          <w:rFonts w:ascii="Garamond" w:hAnsi="Garamond"/>
          <w:b/>
          <w:noProof/>
          <w:lang w:val="en-US" w:eastAsia="en-US" w:bidi="ar-SA"/>
        </w:rPr>
        <w:drawing>
          <wp:inline distT="0" distB="0" distL="0" distR="0">
            <wp:extent cx="5489067" cy="2329307"/>
            <wp:effectExtent l="12192" t="6096" r="6096" b="3937"/>
            <wp:docPr id="12" name="C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2460" w:rsidRPr="009622FC" w:rsidRDefault="00B42460" w:rsidP="00B42460">
      <w:pPr>
        <w:jc w:val="both"/>
        <w:rPr>
          <w:rFonts w:ascii="Garamond" w:hAnsi="Garamond"/>
        </w:rPr>
      </w:pPr>
      <w:r w:rsidRPr="009622FC">
        <w:rPr>
          <w:rFonts w:ascii="Garamond" w:hAnsi="Garamond"/>
          <w:b/>
        </w:rPr>
        <w:t xml:space="preserve">Markdown of budget plans as a strategy for reaching performance targets. </w:t>
      </w:r>
      <w:r w:rsidRPr="009622FC">
        <w:rPr>
          <w:rFonts w:ascii="Garamond" w:hAnsi="Garamond"/>
        </w:rPr>
        <w:t>This study found that all regional governments were less than optimistic in projecting their revenue. At the district level, regional revenue projections are lower than or equal to 2-3 years ago. Meanwhile, at the provincial level, projections are lower than in the preceding</w:t>
      </w:r>
      <w:r w:rsidR="00EE20F0" w:rsidRPr="009622FC">
        <w:rPr>
          <w:rFonts w:ascii="Garamond" w:hAnsi="Garamond"/>
        </w:rPr>
        <w:t xml:space="preserve"> year. East Kalimantan </w:t>
      </w:r>
      <w:r w:rsidRPr="009622FC">
        <w:rPr>
          <w:rFonts w:ascii="Garamond" w:hAnsi="Garamond"/>
        </w:rPr>
        <w:t>projected it would experience a drastic decline, from 30 percent in 2011 to -9.8 percent in 2012. This is a surprising projection, given that in previous years it saw its revenue exceed the targets. One example is what happened in 2011, when the province obtained an achievement target 150 percent higher than its revenue projection. That is, from Rp6.6</w:t>
      </w:r>
      <w:r w:rsidR="00EE20F0" w:rsidRPr="009622FC">
        <w:rPr>
          <w:rFonts w:ascii="Garamond" w:hAnsi="Garamond"/>
        </w:rPr>
        <w:t>2 trillion in projected value it</w:t>
      </w:r>
      <w:r w:rsidRPr="009622FC">
        <w:rPr>
          <w:rFonts w:ascii="Garamond" w:hAnsi="Garamond"/>
        </w:rPr>
        <w:t xml:space="preserve"> reached Rp10.09 trillion in its</w:t>
      </w:r>
      <w:r w:rsidR="003E6557">
        <w:rPr>
          <w:rFonts w:ascii="Garamond" w:hAnsi="Garamond"/>
        </w:rPr>
        <w:t xml:space="preserve"> reali</w:t>
      </w:r>
      <w:r w:rsidR="003E6557">
        <w:rPr>
          <w:rFonts w:ascii="Garamond" w:hAnsi="Garamond"/>
          <w:lang w:val="en-US"/>
        </w:rPr>
        <w:t>s</w:t>
      </w:r>
      <w:r w:rsidRPr="009622FC">
        <w:rPr>
          <w:rFonts w:ascii="Garamond" w:hAnsi="Garamond"/>
        </w:rPr>
        <w:t>ed value. S</w:t>
      </w:r>
      <w:r w:rsidR="00EE20F0" w:rsidRPr="009622FC">
        <w:rPr>
          <w:rFonts w:ascii="Garamond" w:hAnsi="Garamond"/>
        </w:rPr>
        <w:t xml:space="preserve">outh Sumatra </w:t>
      </w:r>
      <w:r w:rsidRPr="009622FC">
        <w:rPr>
          <w:rFonts w:ascii="Garamond" w:hAnsi="Garamond"/>
        </w:rPr>
        <w:t xml:space="preserve">also projected its regional revenue in 2011 to </w:t>
      </w:r>
      <w:r w:rsidR="003E6557">
        <w:rPr>
          <w:rFonts w:ascii="Garamond" w:hAnsi="Garamond"/>
        </w:rPr>
        <w:t>reach Rp3.5 trillion, but reali</w:t>
      </w:r>
      <w:r w:rsidR="003E6557">
        <w:rPr>
          <w:rFonts w:ascii="Garamond" w:hAnsi="Garamond"/>
          <w:lang w:val="en-US"/>
        </w:rPr>
        <w:t>s</w:t>
      </w:r>
      <w:r w:rsidRPr="009622FC">
        <w:rPr>
          <w:rFonts w:ascii="Garamond" w:hAnsi="Garamond"/>
        </w:rPr>
        <w:t>ed Rp4 tr</w:t>
      </w:r>
      <w:r w:rsidR="00EE20F0" w:rsidRPr="009622FC">
        <w:rPr>
          <w:rFonts w:ascii="Garamond" w:hAnsi="Garamond"/>
        </w:rPr>
        <w:t>illion. West Kalimantan</w:t>
      </w:r>
      <w:r w:rsidRPr="009622FC">
        <w:rPr>
          <w:rFonts w:ascii="Garamond" w:hAnsi="Garamond"/>
        </w:rPr>
        <w:t xml:space="preserve"> projected its regional revenue to be Rp1</w:t>
      </w:r>
      <w:r w:rsidR="003E6557">
        <w:rPr>
          <w:rFonts w:ascii="Garamond" w:hAnsi="Garamond"/>
        </w:rPr>
        <w:t>.78 trillion in 2011, and reali</w:t>
      </w:r>
      <w:r w:rsidR="003E6557">
        <w:rPr>
          <w:rFonts w:ascii="Garamond" w:hAnsi="Garamond"/>
          <w:lang w:val="en-US"/>
        </w:rPr>
        <w:t>s</w:t>
      </w:r>
      <w:r w:rsidRPr="009622FC">
        <w:rPr>
          <w:rFonts w:ascii="Garamond" w:hAnsi="Garamond"/>
        </w:rPr>
        <w:t>ed Rp2.26 trillion. What these regional governments do in projecting their revenues is called a markdown plan of</w:t>
      </w:r>
      <w:r w:rsidRPr="009622FC">
        <w:rPr>
          <w:rFonts w:ascii="Garamond" w:hAnsi="Garamond"/>
          <w:i/>
        </w:rPr>
        <w:t xml:space="preserve"> </w:t>
      </w:r>
      <w:r w:rsidRPr="009622FC">
        <w:rPr>
          <w:rStyle w:val="FootnoteReference"/>
          <w:rFonts w:ascii="Garamond" w:hAnsi="Garamond"/>
          <w:lang w:val="en-US"/>
        </w:rPr>
        <w:footnoteReference w:id="39"/>
      </w:r>
      <w:r w:rsidRPr="009622FC">
        <w:rPr>
          <w:rFonts w:ascii="Garamond" w:hAnsi="Garamond"/>
        </w:rPr>
        <w:t>regional revenue, in which the revenue projection or target is planned to be lower than the previous year in order to make</w:t>
      </w:r>
      <w:r w:rsidRPr="009622FC">
        <w:rPr>
          <w:rFonts w:ascii="Garamond" w:hAnsi="Garamond"/>
          <w:i/>
        </w:rPr>
        <w:t xml:space="preserve">  </w:t>
      </w:r>
      <w:r w:rsidRPr="009622FC">
        <w:rPr>
          <w:rFonts w:ascii="Garamond" w:hAnsi="Garamond"/>
        </w:rPr>
        <w:t xml:space="preserve">the performance they report on seem successful because it exceeds the stated target. </w:t>
      </w:r>
    </w:p>
    <w:p w:rsidR="00B42460" w:rsidRPr="009622FC" w:rsidRDefault="00B42460" w:rsidP="00D628DE">
      <w:pPr>
        <w:jc w:val="center"/>
        <w:rPr>
          <w:rFonts w:ascii="Garamond" w:hAnsi="Garamond"/>
          <w:b/>
        </w:rPr>
      </w:pPr>
      <w:r w:rsidRPr="009622FC">
        <w:rPr>
          <w:rFonts w:ascii="Garamond" w:hAnsi="Garamond"/>
          <w:b/>
        </w:rPr>
        <w:t>Table 3.1 Comparis</w:t>
      </w:r>
      <w:r w:rsidR="00E212AB" w:rsidRPr="009622FC">
        <w:rPr>
          <w:rFonts w:ascii="Garamond" w:hAnsi="Garamond"/>
          <w:b/>
        </w:rPr>
        <w:t>on of Original (M), Amended (P)</w:t>
      </w:r>
      <w:r w:rsidR="003E6557">
        <w:rPr>
          <w:rFonts w:ascii="Garamond" w:hAnsi="Garamond"/>
          <w:b/>
        </w:rPr>
        <w:t xml:space="preserve"> and Reali</w:t>
      </w:r>
      <w:r w:rsidR="003E6557">
        <w:rPr>
          <w:rFonts w:ascii="Garamond" w:hAnsi="Garamond"/>
          <w:b/>
          <w:lang w:val="en-US"/>
        </w:rPr>
        <w:t>s</w:t>
      </w:r>
      <w:r w:rsidRPr="009622FC">
        <w:rPr>
          <w:rFonts w:ascii="Garamond" w:hAnsi="Garamond"/>
          <w:b/>
        </w:rPr>
        <w:t xml:space="preserve">ed (R) Provincial and </w:t>
      </w:r>
      <w:r w:rsidR="00E212AB" w:rsidRPr="009622FC">
        <w:rPr>
          <w:rFonts w:ascii="Garamond" w:hAnsi="Garamond"/>
          <w:b/>
        </w:rPr>
        <w:t>District Revenue</w:t>
      </w:r>
      <w:r w:rsidRPr="009622FC">
        <w:rPr>
          <w:rFonts w:ascii="Garamond" w:hAnsi="Garamond"/>
          <w:b/>
        </w:rPr>
        <w:t>, 2009-2012, Based on Constant Price 2012 (Rp billion)</w:t>
      </w:r>
    </w:p>
    <w:tbl>
      <w:tblPr>
        <w:tblW w:w="9936"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682"/>
        <w:gridCol w:w="900"/>
        <w:gridCol w:w="1000"/>
        <w:gridCol w:w="774"/>
        <w:gridCol w:w="792"/>
        <w:gridCol w:w="792"/>
        <w:gridCol w:w="792"/>
        <w:gridCol w:w="801"/>
        <w:gridCol w:w="810"/>
        <w:gridCol w:w="792"/>
        <w:gridCol w:w="801"/>
      </w:tblGrid>
      <w:tr w:rsidR="00B42460" w:rsidRPr="009622FC">
        <w:trPr>
          <w:trHeight w:val="300"/>
          <w:jc w:val="center"/>
        </w:trPr>
        <w:tc>
          <w:tcPr>
            <w:tcW w:w="1682" w:type="dxa"/>
            <w:vMerge w:val="restar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B42460" w:rsidRPr="009622FC" w:rsidRDefault="00B42460" w:rsidP="00B42460">
            <w:pPr>
              <w:spacing w:after="0"/>
              <w:jc w:val="center"/>
              <w:rPr>
                <w:rFonts w:ascii="Garamond" w:eastAsia="Times New Roman" w:hAnsi="Garamond" w:cs="Calibri"/>
                <w:color w:val="000000"/>
                <w:sz w:val="16"/>
              </w:rPr>
            </w:pPr>
            <w:r w:rsidRPr="009622FC">
              <w:rPr>
                <w:rFonts w:ascii="Garamond" w:hAnsi="Garamond" w:cs="Calibri"/>
                <w:b/>
                <w:bCs/>
                <w:color w:val="000000"/>
                <w:sz w:val="16"/>
              </w:rPr>
              <w:t>District/Province</w:t>
            </w:r>
          </w:p>
        </w:tc>
        <w:tc>
          <w:tcPr>
            <w:tcW w:w="2674" w:type="dxa"/>
            <w:gridSpan w:val="3"/>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B42460" w:rsidRPr="009622FC" w:rsidRDefault="00B42460" w:rsidP="00B42460">
            <w:pPr>
              <w:spacing w:after="0"/>
              <w:jc w:val="center"/>
              <w:rPr>
                <w:rFonts w:ascii="Garamond" w:eastAsia="Times New Roman" w:hAnsi="Garamond" w:cs="Calibri"/>
                <w:color w:val="000000"/>
                <w:sz w:val="16"/>
              </w:rPr>
            </w:pPr>
            <w:r w:rsidRPr="009622FC">
              <w:rPr>
                <w:rFonts w:ascii="Garamond" w:hAnsi="Garamond" w:cs="Calibri"/>
                <w:b/>
                <w:bCs/>
                <w:color w:val="000000"/>
                <w:sz w:val="16"/>
              </w:rPr>
              <w:t>2009</w:t>
            </w:r>
          </w:p>
        </w:tc>
        <w:tc>
          <w:tcPr>
            <w:tcW w:w="2376" w:type="dxa"/>
            <w:gridSpan w:val="3"/>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B42460" w:rsidRPr="009622FC" w:rsidRDefault="00B42460" w:rsidP="00B42460">
            <w:pPr>
              <w:spacing w:after="0"/>
              <w:jc w:val="center"/>
              <w:rPr>
                <w:rFonts w:ascii="Garamond" w:eastAsia="Times New Roman" w:hAnsi="Garamond" w:cs="Calibri"/>
                <w:color w:val="000000"/>
                <w:sz w:val="16"/>
              </w:rPr>
            </w:pPr>
            <w:r w:rsidRPr="009622FC">
              <w:rPr>
                <w:rFonts w:ascii="Garamond" w:hAnsi="Garamond" w:cs="Calibri"/>
                <w:b/>
                <w:bCs/>
                <w:color w:val="000000"/>
                <w:sz w:val="16"/>
              </w:rPr>
              <w:t>2010</w:t>
            </w:r>
          </w:p>
        </w:tc>
        <w:tc>
          <w:tcPr>
            <w:tcW w:w="2403" w:type="dxa"/>
            <w:gridSpan w:val="3"/>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B42460" w:rsidRPr="009622FC" w:rsidRDefault="00B42460" w:rsidP="00B42460">
            <w:pPr>
              <w:spacing w:after="0"/>
              <w:jc w:val="center"/>
              <w:rPr>
                <w:rFonts w:ascii="Garamond" w:eastAsia="Times New Roman" w:hAnsi="Garamond" w:cs="Calibri"/>
                <w:color w:val="000000"/>
                <w:sz w:val="16"/>
              </w:rPr>
            </w:pPr>
            <w:r w:rsidRPr="009622FC">
              <w:rPr>
                <w:rFonts w:ascii="Garamond" w:hAnsi="Garamond" w:cs="Calibri"/>
                <w:b/>
                <w:bCs/>
                <w:color w:val="000000"/>
                <w:sz w:val="16"/>
              </w:rPr>
              <w:t>2011</w:t>
            </w:r>
          </w:p>
        </w:tc>
        <w:tc>
          <w:tcPr>
            <w:tcW w:w="801" w:type="dxa"/>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B42460" w:rsidRPr="009622FC" w:rsidRDefault="00B42460" w:rsidP="00B42460">
            <w:pPr>
              <w:spacing w:after="0"/>
              <w:jc w:val="center"/>
              <w:rPr>
                <w:rFonts w:ascii="Garamond" w:eastAsia="Times New Roman" w:hAnsi="Garamond" w:cs="Calibri"/>
                <w:color w:val="000000"/>
                <w:sz w:val="16"/>
              </w:rPr>
            </w:pPr>
            <w:r w:rsidRPr="009622FC">
              <w:rPr>
                <w:rFonts w:ascii="Garamond" w:hAnsi="Garamond" w:cs="Calibri"/>
                <w:b/>
                <w:bCs/>
                <w:color w:val="000000"/>
                <w:sz w:val="16"/>
              </w:rPr>
              <w:t>2012</w:t>
            </w:r>
          </w:p>
        </w:tc>
      </w:tr>
      <w:tr w:rsidR="00B42460" w:rsidRPr="009622FC">
        <w:trPr>
          <w:trHeight w:val="300"/>
          <w:jc w:val="center"/>
        </w:trPr>
        <w:tc>
          <w:tcPr>
            <w:tcW w:w="1682" w:type="dxa"/>
            <w:vMerge/>
            <w:tcBorders>
              <w:top w:val="single" w:sz="8" w:space="0" w:color="FFFFFF"/>
              <w:left w:val="single" w:sz="8" w:space="0" w:color="FFFFFF"/>
              <w:right w:val="single" w:sz="24" w:space="0" w:color="FFFFFF"/>
            </w:tcBorders>
            <w:shd w:val="clear" w:color="auto" w:fill="C0504D"/>
          </w:tcPr>
          <w:p w:rsidR="00B42460" w:rsidRPr="009622FC" w:rsidRDefault="00B42460" w:rsidP="00B42460">
            <w:pPr>
              <w:spacing w:after="0"/>
              <w:jc w:val="both"/>
              <w:rPr>
                <w:rFonts w:ascii="Garamond" w:eastAsia="Times New Roman" w:hAnsi="Garamond" w:cs="Calibri"/>
                <w:color w:val="000000"/>
                <w:sz w:val="16"/>
              </w:rPr>
            </w:pPr>
          </w:p>
        </w:tc>
        <w:tc>
          <w:tcPr>
            <w:tcW w:w="900"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APBD-M</w:t>
            </w:r>
          </w:p>
        </w:tc>
        <w:tc>
          <w:tcPr>
            <w:tcW w:w="1000"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APBD-P</w:t>
            </w:r>
          </w:p>
        </w:tc>
        <w:tc>
          <w:tcPr>
            <w:tcW w:w="774"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APBD-R</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APBD-M</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APBD-P</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APBD-R</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APBD-M</w:t>
            </w:r>
          </w:p>
        </w:tc>
        <w:tc>
          <w:tcPr>
            <w:tcW w:w="810"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APBD-P</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APBD-R</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tcPr>
          <w:p w:rsidR="00B42460" w:rsidRPr="009622FC" w:rsidRDefault="00B42460" w:rsidP="00B42460">
            <w:pPr>
              <w:spacing w:after="0"/>
              <w:jc w:val="both"/>
              <w:rPr>
                <w:rFonts w:ascii="Garamond" w:eastAsia="Times New Roman" w:hAnsi="Garamond" w:cs="Calibri"/>
                <w:b/>
                <w:color w:val="000000"/>
                <w:sz w:val="16"/>
              </w:rPr>
            </w:pPr>
            <w:r w:rsidRPr="009622FC">
              <w:rPr>
                <w:rFonts w:ascii="Garamond" w:hAnsi="Garamond" w:cs="Calibri"/>
                <w:b/>
                <w:color w:val="000000"/>
                <w:sz w:val="16"/>
              </w:rPr>
              <w:t>APBD-M</w:t>
            </w:r>
          </w:p>
        </w:tc>
      </w:tr>
      <w:tr w:rsidR="00B42460" w:rsidRPr="009622FC">
        <w:trPr>
          <w:trHeight w:val="288"/>
          <w:jc w:val="center"/>
        </w:trPr>
        <w:tc>
          <w:tcPr>
            <w:tcW w:w="1682" w:type="dxa"/>
            <w:tcBorders>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color w:val="000000"/>
                <w:sz w:val="16"/>
              </w:rPr>
            </w:pPr>
            <w:r w:rsidRPr="009622FC">
              <w:rPr>
                <w:rFonts w:ascii="Garamond" w:hAnsi="Garamond" w:cs="Calibri"/>
                <w:b/>
                <w:bCs/>
                <w:color w:val="000000"/>
                <w:sz w:val="16"/>
              </w:rPr>
              <w:t>Musi Banyuasin</w:t>
            </w:r>
          </w:p>
        </w:tc>
        <w:tc>
          <w:tcPr>
            <w:tcW w:w="9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1,367</w:t>
            </w:r>
          </w:p>
        </w:tc>
        <w:tc>
          <w:tcPr>
            <w:tcW w:w="10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1,398</w:t>
            </w:r>
          </w:p>
        </w:tc>
        <w:tc>
          <w:tcPr>
            <w:tcW w:w="774"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1,346</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1,504</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1,744</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2,015</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1,898</w:t>
            </w:r>
          </w:p>
        </w:tc>
        <w:tc>
          <w:tcPr>
            <w:tcW w:w="81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1.946</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2,227</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2,120</w:t>
            </w:r>
          </w:p>
        </w:tc>
      </w:tr>
      <w:tr w:rsidR="00B42460" w:rsidRPr="009622FC">
        <w:trPr>
          <w:trHeight w:val="288"/>
          <w:jc w:val="center"/>
        </w:trPr>
        <w:tc>
          <w:tcPr>
            <w:tcW w:w="1682" w:type="dxa"/>
            <w:tcBorders>
              <w:top w:val="single" w:sz="8" w:space="0" w:color="FFFFFF"/>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color w:val="000000"/>
                <w:sz w:val="16"/>
              </w:rPr>
            </w:pPr>
            <w:r w:rsidRPr="009622FC">
              <w:rPr>
                <w:rFonts w:ascii="Garamond" w:hAnsi="Garamond" w:cs="Calibri"/>
                <w:b/>
                <w:bCs/>
                <w:color w:val="000000"/>
                <w:sz w:val="16"/>
              </w:rPr>
              <w:t>Musi Rawas</w:t>
            </w:r>
          </w:p>
        </w:tc>
        <w:tc>
          <w:tcPr>
            <w:tcW w:w="9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1,120</w:t>
            </w:r>
          </w:p>
        </w:tc>
        <w:tc>
          <w:tcPr>
            <w:tcW w:w="10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954</w:t>
            </w:r>
          </w:p>
        </w:tc>
        <w:tc>
          <w:tcPr>
            <w:tcW w:w="774"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917</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1,179</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1,290</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1,101</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1,219</w:t>
            </w:r>
          </w:p>
        </w:tc>
        <w:tc>
          <w:tcPr>
            <w:tcW w:w="81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1.220</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1,266</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1,209</w:t>
            </w:r>
          </w:p>
        </w:tc>
      </w:tr>
      <w:tr w:rsidR="00B42460" w:rsidRPr="009622FC">
        <w:trPr>
          <w:trHeight w:val="288"/>
          <w:jc w:val="center"/>
        </w:trPr>
        <w:tc>
          <w:tcPr>
            <w:tcW w:w="1682" w:type="dxa"/>
            <w:tcBorders>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color w:val="000000"/>
                <w:sz w:val="16"/>
              </w:rPr>
            </w:pPr>
            <w:r w:rsidRPr="009622FC">
              <w:rPr>
                <w:rFonts w:ascii="Garamond" w:hAnsi="Garamond" w:cs="Calibri"/>
                <w:b/>
                <w:bCs/>
                <w:color w:val="000000"/>
                <w:sz w:val="16"/>
              </w:rPr>
              <w:t>Sintang</w:t>
            </w:r>
          </w:p>
        </w:tc>
        <w:tc>
          <w:tcPr>
            <w:tcW w:w="9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710</w:t>
            </w:r>
          </w:p>
        </w:tc>
        <w:tc>
          <w:tcPr>
            <w:tcW w:w="10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718</w:t>
            </w:r>
          </w:p>
        </w:tc>
        <w:tc>
          <w:tcPr>
            <w:tcW w:w="774"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746</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672</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756</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795</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753</w:t>
            </w:r>
          </w:p>
        </w:tc>
        <w:tc>
          <w:tcPr>
            <w:tcW w:w="81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829</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872</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808</w:t>
            </w:r>
          </w:p>
        </w:tc>
      </w:tr>
      <w:tr w:rsidR="00B42460" w:rsidRPr="009622FC">
        <w:trPr>
          <w:trHeight w:val="288"/>
          <w:jc w:val="center"/>
        </w:trPr>
        <w:tc>
          <w:tcPr>
            <w:tcW w:w="1682" w:type="dxa"/>
            <w:tcBorders>
              <w:top w:val="single" w:sz="8" w:space="0" w:color="FFFFFF"/>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color w:val="000000"/>
                <w:sz w:val="16"/>
              </w:rPr>
            </w:pPr>
            <w:r w:rsidRPr="009622FC">
              <w:rPr>
                <w:rFonts w:ascii="Garamond" w:hAnsi="Garamond" w:cs="Calibri"/>
                <w:b/>
                <w:bCs/>
                <w:color w:val="000000"/>
                <w:sz w:val="16"/>
              </w:rPr>
              <w:t>Kubu Raya</w:t>
            </w:r>
          </w:p>
        </w:tc>
        <w:tc>
          <w:tcPr>
            <w:tcW w:w="9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523</w:t>
            </w:r>
          </w:p>
        </w:tc>
        <w:tc>
          <w:tcPr>
            <w:tcW w:w="10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538</w:t>
            </w:r>
          </w:p>
        </w:tc>
        <w:tc>
          <w:tcPr>
            <w:tcW w:w="774"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540</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598</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699</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667</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726</w:t>
            </w:r>
          </w:p>
        </w:tc>
        <w:tc>
          <w:tcPr>
            <w:tcW w:w="81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792</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762</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790</w:t>
            </w:r>
          </w:p>
        </w:tc>
      </w:tr>
      <w:tr w:rsidR="00B42460" w:rsidRPr="009622FC">
        <w:trPr>
          <w:trHeight w:val="288"/>
          <w:jc w:val="center"/>
        </w:trPr>
        <w:tc>
          <w:tcPr>
            <w:tcW w:w="1682" w:type="dxa"/>
            <w:tcBorders>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color w:val="000000"/>
                <w:sz w:val="16"/>
              </w:rPr>
            </w:pPr>
            <w:r w:rsidRPr="009622FC">
              <w:rPr>
                <w:rFonts w:ascii="Garamond" w:hAnsi="Garamond" w:cs="Calibri"/>
                <w:b/>
                <w:bCs/>
                <w:color w:val="000000"/>
                <w:sz w:val="16"/>
              </w:rPr>
              <w:t>Berau</w:t>
            </w:r>
          </w:p>
        </w:tc>
        <w:tc>
          <w:tcPr>
            <w:tcW w:w="9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1,145</w:t>
            </w:r>
          </w:p>
        </w:tc>
        <w:tc>
          <w:tcPr>
            <w:tcW w:w="10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1,226</w:t>
            </w:r>
          </w:p>
        </w:tc>
        <w:tc>
          <w:tcPr>
            <w:tcW w:w="774"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1,354</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1,055</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1,128</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1,302</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1,089</w:t>
            </w:r>
          </w:p>
        </w:tc>
        <w:tc>
          <w:tcPr>
            <w:tcW w:w="81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1.275</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1,754</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1,258</w:t>
            </w:r>
          </w:p>
        </w:tc>
      </w:tr>
      <w:tr w:rsidR="00B42460" w:rsidRPr="009622FC">
        <w:trPr>
          <w:trHeight w:val="288"/>
          <w:jc w:val="center"/>
        </w:trPr>
        <w:tc>
          <w:tcPr>
            <w:tcW w:w="1682" w:type="dxa"/>
            <w:tcBorders>
              <w:top w:val="single" w:sz="8" w:space="0" w:color="FFFFFF"/>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color w:val="000000"/>
                <w:sz w:val="16"/>
              </w:rPr>
            </w:pPr>
            <w:r w:rsidRPr="009622FC">
              <w:rPr>
                <w:rFonts w:ascii="Garamond" w:hAnsi="Garamond" w:cs="Calibri"/>
                <w:b/>
                <w:bCs/>
                <w:color w:val="000000"/>
                <w:sz w:val="16"/>
              </w:rPr>
              <w:t>Bulungan</w:t>
            </w:r>
          </w:p>
        </w:tc>
        <w:tc>
          <w:tcPr>
            <w:tcW w:w="9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839</w:t>
            </w:r>
          </w:p>
        </w:tc>
        <w:tc>
          <w:tcPr>
            <w:tcW w:w="10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938</w:t>
            </w:r>
          </w:p>
        </w:tc>
        <w:tc>
          <w:tcPr>
            <w:tcW w:w="774"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1,139</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660</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705</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1,113</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927</w:t>
            </w:r>
          </w:p>
        </w:tc>
        <w:tc>
          <w:tcPr>
            <w:tcW w:w="81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933</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1,348</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986</w:t>
            </w:r>
          </w:p>
        </w:tc>
      </w:tr>
      <w:tr w:rsidR="00B42460" w:rsidRPr="009622FC">
        <w:trPr>
          <w:trHeight w:val="288"/>
          <w:jc w:val="center"/>
        </w:trPr>
        <w:tc>
          <w:tcPr>
            <w:tcW w:w="1682" w:type="dxa"/>
            <w:tcBorders>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bCs/>
                <w:color w:val="000000"/>
                <w:sz w:val="16"/>
              </w:rPr>
            </w:pPr>
            <w:r w:rsidRPr="009622FC">
              <w:rPr>
                <w:rFonts w:ascii="Garamond" w:hAnsi="Garamond" w:cs="Calibri"/>
                <w:b/>
                <w:bCs/>
                <w:color w:val="000000"/>
                <w:sz w:val="16"/>
              </w:rPr>
              <w:t>South Sumatra</w:t>
            </w:r>
          </w:p>
        </w:tc>
        <w:tc>
          <w:tcPr>
            <w:tcW w:w="9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3,060</w:t>
            </w:r>
          </w:p>
        </w:tc>
        <w:tc>
          <w:tcPr>
            <w:tcW w:w="10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3,068</w:t>
            </w:r>
          </w:p>
        </w:tc>
        <w:tc>
          <w:tcPr>
            <w:tcW w:w="774"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2,736</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3,443</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3,530</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3,543</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3,531</w:t>
            </w:r>
          </w:p>
        </w:tc>
        <w:tc>
          <w:tcPr>
            <w:tcW w:w="81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3.864</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4,074</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4,939</w:t>
            </w:r>
          </w:p>
        </w:tc>
      </w:tr>
      <w:tr w:rsidR="00B42460" w:rsidRPr="009622FC">
        <w:trPr>
          <w:trHeight w:val="288"/>
          <w:jc w:val="center"/>
        </w:trPr>
        <w:tc>
          <w:tcPr>
            <w:tcW w:w="1682" w:type="dxa"/>
            <w:tcBorders>
              <w:top w:val="single" w:sz="8" w:space="0" w:color="FFFFFF"/>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bCs/>
                <w:color w:val="000000"/>
                <w:sz w:val="16"/>
              </w:rPr>
            </w:pPr>
            <w:r w:rsidRPr="009622FC">
              <w:rPr>
                <w:rFonts w:ascii="Garamond" w:hAnsi="Garamond" w:cs="Calibri"/>
                <w:b/>
                <w:bCs/>
                <w:color w:val="000000"/>
                <w:sz w:val="16"/>
              </w:rPr>
              <w:t>West Kalimantan</w:t>
            </w:r>
          </w:p>
        </w:tc>
        <w:tc>
          <w:tcPr>
            <w:tcW w:w="9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1,687</w:t>
            </w:r>
          </w:p>
        </w:tc>
        <w:tc>
          <w:tcPr>
            <w:tcW w:w="100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1,780</w:t>
            </w:r>
          </w:p>
        </w:tc>
        <w:tc>
          <w:tcPr>
            <w:tcW w:w="774"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1,800</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1,715</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1,815</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1,956</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1,787</w:t>
            </w:r>
          </w:p>
        </w:tc>
        <w:tc>
          <w:tcPr>
            <w:tcW w:w="810"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2.099</w:t>
            </w:r>
          </w:p>
        </w:tc>
        <w:tc>
          <w:tcPr>
            <w:tcW w:w="792"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2,263</w:t>
            </w:r>
          </w:p>
        </w:tc>
        <w:tc>
          <w:tcPr>
            <w:tcW w:w="801" w:type="dxa"/>
            <w:tcBorders>
              <w:top w:val="single" w:sz="8" w:space="0" w:color="FFFFFF"/>
              <w:left w:val="single" w:sz="8" w:space="0" w:color="FFFFFF"/>
              <w:bottom w:val="single" w:sz="8" w:space="0" w:color="FFFFFF"/>
              <w:right w:val="single" w:sz="8" w:space="0" w:color="FFFFFF"/>
            </w:tcBorders>
            <w:shd w:val="clear" w:color="auto" w:fill="DFA7A6"/>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2,837</w:t>
            </w:r>
          </w:p>
        </w:tc>
      </w:tr>
      <w:tr w:rsidR="00B42460" w:rsidRPr="009622FC">
        <w:trPr>
          <w:trHeight w:val="288"/>
          <w:jc w:val="center"/>
        </w:trPr>
        <w:tc>
          <w:tcPr>
            <w:tcW w:w="1682" w:type="dxa"/>
            <w:tcBorders>
              <w:left w:val="single" w:sz="8" w:space="0" w:color="FFFFFF"/>
              <w:right w:val="single" w:sz="24" w:space="0" w:color="FFFFFF"/>
            </w:tcBorders>
            <w:shd w:val="clear" w:color="auto" w:fill="C0504D"/>
            <w:noWrap/>
            <w:vAlign w:val="center"/>
          </w:tcPr>
          <w:p w:rsidR="00B42460" w:rsidRPr="009622FC" w:rsidRDefault="00B42460" w:rsidP="00B42460">
            <w:pPr>
              <w:spacing w:after="0"/>
              <w:rPr>
                <w:rFonts w:ascii="Garamond" w:eastAsia="Times New Roman" w:hAnsi="Garamond" w:cs="Calibri"/>
                <w:b/>
                <w:bCs/>
                <w:color w:val="000000"/>
                <w:sz w:val="16"/>
              </w:rPr>
            </w:pPr>
            <w:r w:rsidRPr="009622FC">
              <w:rPr>
                <w:rFonts w:ascii="Garamond" w:hAnsi="Garamond" w:cs="Calibri"/>
                <w:b/>
                <w:bCs/>
                <w:color w:val="000000"/>
                <w:sz w:val="16"/>
              </w:rPr>
              <w:t>East Kalimantan</w:t>
            </w:r>
          </w:p>
        </w:tc>
        <w:tc>
          <w:tcPr>
            <w:tcW w:w="9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5,718</w:t>
            </w:r>
          </w:p>
        </w:tc>
        <w:tc>
          <w:tcPr>
            <w:tcW w:w="100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6,560</w:t>
            </w:r>
          </w:p>
        </w:tc>
        <w:tc>
          <w:tcPr>
            <w:tcW w:w="774"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6,103</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6,304</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6,929</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7,740</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6,629</w:t>
            </w:r>
          </w:p>
        </w:tc>
        <w:tc>
          <w:tcPr>
            <w:tcW w:w="810"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8.580</w:t>
            </w:r>
          </w:p>
        </w:tc>
        <w:tc>
          <w:tcPr>
            <w:tcW w:w="792"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10,093</w:t>
            </w:r>
          </w:p>
        </w:tc>
        <w:tc>
          <w:tcPr>
            <w:tcW w:w="801" w:type="dxa"/>
            <w:shd w:val="clear" w:color="auto" w:fill="EFD3D2"/>
            <w:noWrap/>
            <w:vAlign w:val="center"/>
          </w:tcPr>
          <w:p w:rsidR="00B42460" w:rsidRPr="009622FC" w:rsidRDefault="00B42460" w:rsidP="00B42460">
            <w:pPr>
              <w:spacing w:after="0"/>
              <w:jc w:val="right"/>
              <w:rPr>
                <w:rFonts w:ascii="Garamond" w:eastAsia="Times New Roman" w:hAnsi="Garamond" w:cs="Calibri"/>
                <w:color w:val="000000"/>
                <w:sz w:val="16"/>
              </w:rPr>
            </w:pPr>
            <w:r w:rsidRPr="009622FC">
              <w:rPr>
                <w:rFonts w:ascii="Garamond" w:hAnsi="Garamond" w:cs="Calibri"/>
                <w:color w:val="000000"/>
                <w:sz w:val="16"/>
              </w:rPr>
              <w:t>9,103</w:t>
            </w:r>
          </w:p>
        </w:tc>
      </w:tr>
    </w:tbl>
    <w:p w:rsidR="00B42460" w:rsidRPr="009622FC" w:rsidRDefault="00B42460" w:rsidP="00B42460">
      <w:pPr>
        <w:jc w:val="both"/>
        <w:rPr>
          <w:rFonts w:ascii="Garamond" w:hAnsi="Garamond"/>
          <w:b/>
          <w:lang w:val="en-US"/>
        </w:rPr>
      </w:pPr>
    </w:p>
    <w:p w:rsidR="00865599" w:rsidRDefault="00865599" w:rsidP="00B42460">
      <w:pPr>
        <w:jc w:val="both"/>
        <w:rPr>
          <w:rFonts w:ascii="Garamond" w:hAnsi="Garamond"/>
          <w:b/>
          <w:lang w:val="en-US"/>
        </w:rPr>
      </w:pPr>
    </w:p>
    <w:p w:rsidR="00B42460" w:rsidRPr="009622FC" w:rsidRDefault="00B42460" w:rsidP="00B42460">
      <w:pPr>
        <w:jc w:val="both"/>
        <w:rPr>
          <w:rFonts w:ascii="Garamond" w:hAnsi="Garamond"/>
        </w:rPr>
      </w:pPr>
      <w:r w:rsidRPr="009622FC">
        <w:rPr>
          <w:rFonts w:ascii="Garamond" w:hAnsi="Garamond"/>
          <w:b/>
        </w:rPr>
        <w:lastRenderedPageBreak/>
        <w:t>Locally Generated Revenue (PAD) as a component is projected to be lower</w:t>
      </w:r>
      <w:r w:rsidRPr="009622FC">
        <w:rPr>
          <w:rFonts w:ascii="Garamond" w:hAnsi="Garamond"/>
        </w:rPr>
        <w:t>. I</w:t>
      </w:r>
      <w:r w:rsidR="005A20F6" w:rsidRPr="009622FC">
        <w:rPr>
          <w:rFonts w:ascii="Garamond" w:hAnsi="Garamond"/>
        </w:rPr>
        <w:t>n 2011, East Kalimantan</w:t>
      </w:r>
      <w:r w:rsidRPr="009622FC">
        <w:rPr>
          <w:rFonts w:ascii="Garamond" w:hAnsi="Garamond"/>
        </w:rPr>
        <w:t xml:space="preserve"> projected its Regional Tax to amount t</w:t>
      </w:r>
      <w:r w:rsidR="003E6557">
        <w:rPr>
          <w:rFonts w:ascii="Garamond" w:hAnsi="Garamond"/>
        </w:rPr>
        <w:t>o Rp2 trillion, while its reali</w:t>
      </w:r>
      <w:r w:rsidR="003E6557">
        <w:rPr>
          <w:rFonts w:ascii="Garamond" w:hAnsi="Garamond"/>
          <w:lang w:val="en-US"/>
        </w:rPr>
        <w:t>s</w:t>
      </w:r>
      <w:r w:rsidRPr="009622FC">
        <w:rPr>
          <w:rFonts w:ascii="Garamond" w:hAnsi="Garamond"/>
        </w:rPr>
        <w:t>ation turned out to be Rp3.7 trillion. The same occu</w:t>
      </w:r>
      <w:r w:rsidR="005A20F6" w:rsidRPr="009622FC">
        <w:rPr>
          <w:rFonts w:ascii="Garamond" w:hAnsi="Garamond"/>
        </w:rPr>
        <w:t>rred in West Kalimantan</w:t>
      </w:r>
      <w:r w:rsidRPr="009622FC">
        <w:rPr>
          <w:rFonts w:ascii="Garamond" w:hAnsi="Garamond"/>
        </w:rPr>
        <w:t>, which ta</w:t>
      </w:r>
      <w:r w:rsidR="003E6557">
        <w:rPr>
          <w:rFonts w:ascii="Garamond" w:hAnsi="Garamond"/>
        </w:rPr>
        <w:t>rgeted Rp600 billion, but reali</w:t>
      </w:r>
      <w:r w:rsidR="003E6557">
        <w:rPr>
          <w:rFonts w:ascii="Garamond" w:hAnsi="Garamond"/>
          <w:lang w:val="en-US"/>
        </w:rPr>
        <w:t>s</w:t>
      </w:r>
      <w:r w:rsidRPr="009622FC">
        <w:rPr>
          <w:rFonts w:ascii="Garamond" w:hAnsi="Garamond"/>
        </w:rPr>
        <w:t>ed Rp902 billion. The practice of reporting a revenue projection that</w:t>
      </w:r>
      <w:r w:rsidR="003E6557">
        <w:rPr>
          <w:rFonts w:ascii="Garamond" w:hAnsi="Garamond"/>
        </w:rPr>
        <w:t xml:space="preserve"> is lower than its actual reali</w:t>
      </w:r>
      <w:r w:rsidR="003E6557">
        <w:rPr>
          <w:rFonts w:ascii="Garamond" w:hAnsi="Garamond"/>
          <w:lang w:val="en-US"/>
        </w:rPr>
        <w:t>s</w:t>
      </w:r>
      <w:r w:rsidRPr="009622FC">
        <w:rPr>
          <w:rFonts w:ascii="Garamond" w:hAnsi="Garamond"/>
        </w:rPr>
        <w:t xml:space="preserve">ation is highly vulnerable to corrupt practices in the regions. </w:t>
      </w:r>
    </w:p>
    <w:p w:rsidR="00B42460" w:rsidRPr="009622FC" w:rsidRDefault="005A20F6" w:rsidP="00B42460">
      <w:pPr>
        <w:jc w:val="both"/>
        <w:rPr>
          <w:rFonts w:ascii="Garamond" w:hAnsi="Garamond"/>
        </w:rPr>
      </w:pPr>
      <w:r w:rsidRPr="009622FC">
        <w:rPr>
          <w:rFonts w:ascii="Garamond" w:hAnsi="Garamond"/>
          <w:b/>
        </w:rPr>
        <w:t>Per capita r</w:t>
      </w:r>
      <w:r w:rsidR="00B42460" w:rsidRPr="009622FC">
        <w:rPr>
          <w:rFonts w:ascii="Garamond" w:hAnsi="Garamond"/>
          <w:b/>
        </w:rPr>
        <w:t xml:space="preserve">egional revenue </w:t>
      </w:r>
      <w:r w:rsidRPr="009622FC">
        <w:rPr>
          <w:rFonts w:ascii="Garamond" w:hAnsi="Garamond"/>
          <w:b/>
        </w:rPr>
        <w:t>was higher than per capita</w:t>
      </w:r>
      <w:r w:rsidR="00B42460" w:rsidRPr="009622FC">
        <w:rPr>
          <w:rFonts w:ascii="Garamond" w:hAnsi="Garamond"/>
          <w:b/>
        </w:rPr>
        <w:t xml:space="preserve"> </w:t>
      </w:r>
      <w:r w:rsidRPr="009622FC">
        <w:rPr>
          <w:rFonts w:ascii="Garamond" w:hAnsi="Garamond"/>
          <w:b/>
        </w:rPr>
        <w:t>national revenue</w:t>
      </w:r>
      <w:r w:rsidR="00B42460" w:rsidRPr="009622FC">
        <w:rPr>
          <w:rFonts w:ascii="Garamond" w:hAnsi="Garamond"/>
          <w:b/>
        </w:rPr>
        <w:t>, except for in Kubu Raya</w:t>
      </w:r>
      <w:r w:rsidR="00B42460" w:rsidRPr="009622FC">
        <w:rPr>
          <w:rFonts w:ascii="Garamond" w:hAnsi="Garamond"/>
        </w:rPr>
        <w:t xml:space="preserve">. All provinces in this study showed </w:t>
      </w:r>
      <w:r w:rsidRPr="009622FC">
        <w:rPr>
          <w:rFonts w:ascii="Garamond" w:hAnsi="Garamond"/>
        </w:rPr>
        <w:t xml:space="preserve">per capita </w:t>
      </w:r>
      <w:r w:rsidR="00B42460" w:rsidRPr="009622FC">
        <w:rPr>
          <w:rFonts w:ascii="Garamond" w:hAnsi="Garamond"/>
        </w:rPr>
        <w:t xml:space="preserve">revenue above the national average. East Kalimantan province had a </w:t>
      </w:r>
      <w:r w:rsidRPr="009622FC">
        <w:rPr>
          <w:rFonts w:ascii="Garamond" w:hAnsi="Garamond"/>
        </w:rPr>
        <w:t xml:space="preserve">per capita </w:t>
      </w:r>
      <w:r w:rsidR="00B42460" w:rsidRPr="009622FC">
        <w:rPr>
          <w:rFonts w:ascii="Garamond" w:hAnsi="Garamond"/>
        </w:rPr>
        <w:t>revenue of Rp</w:t>
      </w:r>
      <w:r w:rsidR="00B42460" w:rsidRPr="009622FC">
        <w:rPr>
          <w:rFonts w:ascii="Garamond" w:hAnsi="Garamond" w:cs="Calibri"/>
          <w:color w:val="000000"/>
        </w:rPr>
        <w:t>7,416,879, with West Kalimantan at Rp2,263,404, and South Sumatra at  Rp2,077,762</w:t>
      </w:r>
      <w:r w:rsidR="00B42460" w:rsidRPr="009622FC">
        <w:rPr>
          <w:rFonts w:ascii="Garamond" w:hAnsi="Garamond"/>
        </w:rPr>
        <w:t xml:space="preserve"> in 2010. The same was true for districts within these provinces, namely Musi Banyuasin, Musi Rawas, Berau and Bulungan districts. These numbers are quite high, considering that the national revenue per capita </w:t>
      </w:r>
      <w:r w:rsidR="00B42460" w:rsidRPr="009622FC">
        <w:rPr>
          <w:rFonts w:ascii="Garamond" w:hAnsi="Garamond"/>
          <w:vertAlign w:val="superscript"/>
        </w:rPr>
        <w:footnoteReference w:id="40"/>
      </w:r>
      <w:r w:rsidR="00B42460" w:rsidRPr="009622FC">
        <w:rPr>
          <w:rFonts w:ascii="Garamond" w:hAnsi="Garamond"/>
        </w:rPr>
        <w:t xml:space="preserve"> is only Rp</w:t>
      </w:r>
      <w:r w:rsidR="00B42460" w:rsidRPr="009622FC">
        <w:rPr>
          <w:rFonts w:ascii="Garamond" w:hAnsi="Garamond" w:cs="Calibri"/>
          <w:color w:val="000000"/>
        </w:rPr>
        <w:t xml:space="preserve">1,888,681. </w:t>
      </w:r>
      <w:r w:rsidR="00B42460" w:rsidRPr="009622FC">
        <w:rPr>
          <w:rFonts w:ascii="Garamond" w:hAnsi="Garamond"/>
        </w:rPr>
        <w:t>Kubu Raya district, which is a new district resulting from its separation from West Kalimantan province, was the only district wit</w:t>
      </w:r>
      <w:r w:rsidRPr="009622FC">
        <w:rPr>
          <w:rFonts w:ascii="Garamond" w:hAnsi="Garamond"/>
        </w:rPr>
        <w:t>h revenue per capita below the</w:t>
      </w:r>
      <w:r w:rsidR="00B42460" w:rsidRPr="009622FC">
        <w:rPr>
          <w:rFonts w:ascii="Garamond" w:hAnsi="Garamond"/>
        </w:rPr>
        <w:t xml:space="preserve"> national average, amounting to Rp1,217,000.</w:t>
      </w:r>
    </w:p>
    <w:p w:rsidR="00B42460" w:rsidRPr="009622FC" w:rsidRDefault="00273E5C" w:rsidP="00B42460">
      <w:pPr>
        <w:jc w:val="center"/>
        <w:rPr>
          <w:rFonts w:ascii="Garamond" w:hAnsi="Garamond"/>
          <w:b/>
        </w:rPr>
      </w:pPr>
      <w:r w:rsidRPr="009622FC">
        <w:rPr>
          <w:rFonts w:ascii="Garamond" w:hAnsi="Garamond"/>
          <w:b/>
        </w:rPr>
        <w:t>Graphic</w:t>
      </w:r>
      <w:r w:rsidR="003B1A61" w:rsidRPr="009622FC">
        <w:rPr>
          <w:rFonts w:ascii="Garamond" w:hAnsi="Garamond"/>
          <w:b/>
        </w:rPr>
        <w:t xml:space="preserve"> 3.10 </w:t>
      </w:r>
      <w:r w:rsidR="005A20F6" w:rsidRPr="009622FC">
        <w:rPr>
          <w:rFonts w:ascii="Garamond" w:hAnsi="Garamond"/>
          <w:b/>
        </w:rPr>
        <w:t>Per Capita Revenue</w:t>
      </w:r>
      <w:r w:rsidR="00B42460" w:rsidRPr="009622FC">
        <w:rPr>
          <w:rFonts w:ascii="Garamond" w:hAnsi="Garamond"/>
          <w:b/>
        </w:rPr>
        <w:t xml:space="preserve"> by Region, 2010</w:t>
      </w:r>
    </w:p>
    <w:p w:rsidR="00B42460" w:rsidRPr="009622FC" w:rsidRDefault="00805913" w:rsidP="00B42460">
      <w:pPr>
        <w:jc w:val="center"/>
        <w:rPr>
          <w:rFonts w:ascii="Garamond" w:hAnsi="Garamond"/>
          <w:b/>
        </w:rPr>
      </w:pPr>
      <w:r w:rsidRPr="009622FC">
        <w:rPr>
          <w:rFonts w:ascii="Garamond" w:hAnsi="Garamond"/>
          <w:b/>
          <w:noProof/>
          <w:lang w:val="en-US" w:eastAsia="en-US" w:bidi="ar-SA"/>
        </w:rPr>
        <w:drawing>
          <wp:inline distT="0" distB="0" distL="0" distR="0">
            <wp:extent cx="4395697" cy="2046648"/>
            <wp:effectExtent l="25400" t="25400" r="23903" b="10752"/>
            <wp:docPr id="13" name="C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42460" w:rsidRDefault="0093437A" w:rsidP="00B42460">
      <w:pPr>
        <w:jc w:val="both"/>
        <w:rPr>
          <w:rFonts w:ascii="Garamond" w:hAnsi="Garamond"/>
          <w:lang w:val="en-US"/>
        </w:rPr>
      </w:pPr>
      <w:r w:rsidRPr="009622FC">
        <w:rPr>
          <w:rFonts w:ascii="Garamond" w:hAnsi="Garamond"/>
          <w:b/>
        </w:rPr>
        <w:t>Those regions with abundant natural resources had a ratio of DBH-</w:t>
      </w:r>
      <w:r w:rsidR="00B42460" w:rsidRPr="009622FC">
        <w:rPr>
          <w:rFonts w:ascii="Garamond" w:hAnsi="Garamond"/>
          <w:b/>
        </w:rPr>
        <w:t>SDA to revenue that was higher than the national average.</w:t>
      </w:r>
      <w:r w:rsidR="00B42460" w:rsidRPr="009622FC">
        <w:rPr>
          <w:rFonts w:ascii="Garamond" w:hAnsi="Garamond"/>
        </w:rPr>
        <w:t xml:space="preserve"> The ratio of DBH to revenue in </w:t>
      </w:r>
      <w:r w:rsidRPr="009622FC">
        <w:rPr>
          <w:rFonts w:ascii="Garamond" w:hAnsi="Garamond"/>
        </w:rPr>
        <w:t>resource-rich regions was three to five</w:t>
      </w:r>
      <w:r w:rsidR="00B42460" w:rsidRPr="009622FC">
        <w:rPr>
          <w:rFonts w:ascii="Garamond" w:hAnsi="Garamond"/>
        </w:rPr>
        <w:t xml:space="preserve"> times higher than the average local revenue at the national level. Meanwhile, Sintang and Kubu Raya districts were classified as having lower than average local revenue at the national level. </w:t>
      </w:r>
    </w:p>
    <w:p w:rsidR="00865599" w:rsidRDefault="00865599" w:rsidP="00B42460">
      <w:pPr>
        <w:jc w:val="both"/>
        <w:rPr>
          <w:rFonts w:ascii="Garamond" w:hAnsi="Garamond"/>
          <w:lang w:val="en-US"/>
        </w:rPr>
      </w:pPr>
    </w:p>
    <w:p w:rsidR="00865599" w:rsidRDefault="00865599" w:rsidP="00B42460">
      <w:pPr>
        <w:jc w:val="both"/>
        <w:rPr>
          <w:rFonts w:ascii="Garamond" w:hAnsi="Garamond"/>
          <w:lang w:val="en-US"/>
        </w:rPr>
      </w:pPr>
    </w:p>
    <w:p w:rsidR="00865599" w:rsidRDefault="00865599" w:rsidP="00B42460">
      <w:pPr>
        <w:jc w:val="both"/>
        <w:rPr>
          <w:rFonts w:ascii="Garamond" w:hAnsi="Garamond"/>
          <w:lang w:val="en-US"/>
        </w:rPr>
      </w:pPr>
    </w:p>
    <w:p w:rsidR="00865599" w:rsidRDefault="00865599" w:rsidP="00B42460">
      <w:pPr>
        <w:jc w:val="both"/>
        <w:rPr>
          <w:rFonts w:ascii="Garamond" w:hAnsi="Garamond"/>
          <w:lang w:val="en-US"/>
        </w:rPr>
      </w:pPr>
    </w:p>
    <w:p w:rsidR="00865599" w:rsidRDefault="00865599" w:rsidP="00B42460">
      <w:pPr>
        <w:jc w:val="both"/>
        <w:rPr>
          <w:rFonts w:ascii="Garamond" w:hAnsi="Garamond"/>
          <w:lang w:val="en-US"/>
        </w:rPr>
      </w:pPr>
    </w:p>
    <w:p w:rsidR="00865599" w:rsidRDefault="00865599" w:rsidP="00B42460">
      <w:pPr>
        <w:jc w:val="both"/>
        <w:rPr>
          <w:rFonts w:ascii="Garamond" w:hAnsi="Garamond"/>
          <w:lang w:val="en-US"/>
        </w:rPr>
      </w:pPr>
    </w:p>
    <w:p w:rsidR="00865599" w:rsidRDefault="00865599" w:rsidP="00B42460">
      <w:pPr>
        <w:jc w:val="both"/>
        <w:rPr>
          <w:rFonts w:ascii="Garamond" w:hAnsi="Garamond"/>
          <w:lang w:val="en-US"/>
        </w:rPr>
      </w:pPr>
    </w:p>
    <w:p w:rsidR="005418E1" w:rsidRPr="00865599" w:rsidRDefault="005418E1" w:rsidP="00B42460">
      <w:pPr>
        <w:jc w:val="both"/>
        <w:rPr>
          <w:rFonts w:ascii="Garamond" w:hAnsi="Garamond"/>
          <w:lang w:val="en-US"/>
        </w:rPr>
      </w:pPr>
    </w:p>
    <w:p w:rsidR="00B42460" w:rsidRPr="009622FC" w:rsidRDefault="00273E5C" w:rsidP="00B42460">
      <w:pPr>
        <w:jc w:val="center"/>
        <w:rPr>
          <w:rFonts w:ascii="Garamond" w:hAnsi="Garamond"/>
          <w:b/>
        </w:rPr>
      </w:pPr>
      <w:r w:rsidRPr="009622FC">
        <w:rPr>
          <w:rFonts w:ascii="Garamond" w:hAnsi="Garamond"/>
          <w:b/>
        </w:rPr>
        <w:lastRenderedPageBreak/>
        <w:t>Graphic</w:t>
      </w:r>
      <w:r w:rsidR="000D1F88" w:rsidRPr="009622FC">
        <w:rPr>
          <w:rFonts w:ascii="Garamond" w:hAnsi="Garamond"/>
          <w:b/>
        </w:rPr>
        <w:t xml:space="preserve"> 3.11 </w:t>
      </w:r>
      <w:r w:rsidR="00B42460" w:rsidRPr="009622FC">
        <w:rPr>
          <w:rFonts w:ascii="Garamond" w:hAnsi="Garamond"/>
          <w:b/>
        </w:rPr>
        <w:t>Per Capita DBH and Its Ratio to Regional Revenue, 2009 -2012</w:t>
      </w:r>
    </w:p>
    <w:p w:rsidR="00B42460" w:rsidRPr="009622FC" w:rsidRDefault="00805913" w:rsidP="00B42460">
      <w:pPr>
        <w:jc w:val="center"/>
        <w:rPr>
          <w:rFonts w:ascii="Garamond" w:hAnsi="Garamond"/>
        </w:rPr>
      </w:pPr>
      <w:r w:rsidRPr="009622FC">
        <w:rPr>
          <w:rFonts w:ascii="Garamond" w:hAnsi="Garamond"/>
          <w:noProof/>
          <w:lang w:val="en-US" w:eastAsia="en-US" w:bidi="ar-SA"/>
        </w:rPr>
        <w:drawing>
          <wp:inline distT="0" distB="0" distL="0" distR="0">
            <wp:extent cx="5475221" cy="2991323"/>
            <wp:effectExtent l="25400" t="25400" r="11179" b="5877"/>
            <wp:docPr id="14" name="C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42460" w:rsidRPr="009622FC" w:rsidRDefault="00B42460" w:rsidP="00B42460">
      <w:pPr>
        <w:jc w:val="both"/>
        <w:rPr>
          <w:rFonts w:ascii="Garamond" w:hAnsi="Garamond"/>
        </w:rPr>
      </w:pPr>
      <w:r w:rsidRPr="009622FC">
        <w:rPr>
          <w:rFonts w:ascii="Garamond" w:hAnsi="Garamond"/>
        </w:rPr>
        <w:t xml:space="preserve">In Berau district, the DBH per capita in 2009 was Rp3.4 million and increased to Rp5.2 million in 2011. Meanwhile, Bulungan district's </w:t>
      </w:r>
      <w:r w:rsidR="0031563D" w:rsidRPr="009622FC">
        <w:rPr>
          <w:rFonts w:ascii="Garamond" w:hAnsi="Garamond"/>
        </w:rPr>
        <w:t>per capita DBH-</w:t>
      </w:r>
      <w:r w:rsidRPr="009622FC">
        <w:rPr>
          <w:rFonts w:ascii="Garamond" w:hAnsi="Garamond"/>
        </w:rPr>
        <w:t xml:space="preserve">SDA was Rp7.7 million in 2011. Such a value is much higher than the national average for </w:t>
      </w:r>
      <w:r w:rsidR="0031563D" w:rsidRPr="009622FC">
        <w:rPr>
          <w:rFonts w:ascii="Garamond" w:hAnsi="Garamond"/>
        </w:rPr>
        <w:t>per capita DBH-</w:t>
      </w:r>
      <w:r w:rsidRPr="009622FC">
        <w:rPr>
          <w:rFonts w:ascii="Garamond" w:hAnsi="Garamond"/>
        </w:rPr>
        <w:t xml:space="preserve">SDA from 2009-2012, which amounted to only Rp268.7 thousand. A high </w:t>
      </w:r>
      <w:r w:rsidR="0031563D" w:rsidRPr="009622FC">
        <w:rPr>
          <w:rFonts w:ascii="Garamond" w:hAnsi="Garamond"/>
        </w:rPr>
        <w:t xml:space="preserve">per capita DBH-SDA </w:t>
      </w:r>
      <w:r w:rsidRPr="009622FC">
        <w:rPr>
          <w:rFonts w:ascii="Garamond" w:hAnsi="Garamond"/>
        </w:rPr>
        <w:t xml:space="preserve">indicates the high yield or value of natural resources for regional revenue, which then encourages an increase in natural resource exploitation. </w:t>
      </w:r>
    </w:p>
    <w:p w:rsidR="00B42460" w:rsidRPr="009622FC" w:rsidRDefault="00273E5C" w:rsidP="00B42460">
      <w:pPr>
        <w:jc w:val="center"/>
        <w:rPr>
          <w:rFonts w:ascii="Garamond" w:hAnsi="Garamond"/>
        </w:rPr>
      </w:pPr>
      <w:r w:rsidRPr="009622FC">
        <w:rPr>
          <w:rFonts w:ascii="Garamond" w:hAnsi="Garamond"/>
          <w:b/>
        </w:rPr>
        <w:t>Graphic</w:t>
      </w:r>
      <w:r w:rsidR="000D1F88" w:rsidRPr="009622FC">
        <w:rPr>
          <w:rFonts w:ascii="Garamond" w:hAnsi="Garamond"/>
          <w:b/>
        </w:rPr>
        <w:t xml:space="preserve"> 3.12 </w:t>
      </w:r>
      <w:r w:rsidR="00B42460" w:rsidRPr="009622FC">
        <w:rPr>
          <w:rFonts w:ascii="Garamond" w:hAnsi="Garamond"/>
          <w:b/>
        </w:rPr>
        <w:t>Tr</w:t>
      </w:r>
      <w:r w:rsidR="0031563D" w:rsidRPr="009622FC">
        <w:rPr>
          <w:rFonts w:ascii="Garamond" w:hAnsi="Garamond"/>
          <w:b/>
        </w:rPr>
        <w:t>ends in Funding for Per Capita Revenue</w:t>
      </w:r>
      <w:r w:rsidR="00B42460" w:rsidRPr="009622FC">
        <w:rPr>
          <w:rFonts w:ascii="Garamond" w:hAnsi="Garamond"/>
          <w:b/>
        </w:rPr>
        <w:t xml:space="preserve"> and Its Ratio to Revenue, 2009-2011</w:t>
      </w:r>
    </w:p>
    <w:p w:rsidR="00B42460" w:rsidRPr="009622FC" w:rsidRDefault="00805913" w:rsidP="00B42460">
      <w:pPr>
        <w:jc w:val="both"/>
        <w:rPr>
          <w:rFonts w:ascii="Garamond" w:hAnsi="Garamond"/>
          <w:b/>
          <w:noProof/>
          <w:lang w:val="en-US" w:eastAsia="en-US" w:bidi="ar-SA"/>
        </w:rPr>
      </w:pPr>
      <w:r w:rsidRPr="009622FC">
        <w:rPr>
          <w:rFonts w:ascii="Garamond" w:hAnsi="Garamond"/>
          <w:b/>
          <w:noProof/>
          <w:lang w:val="en-US" w:eastAsia="en-US" w:bidi="ar-SA"/>
        </w:rPr>
        <w:drawing>
          <wp:inline distT="0" distB="0" distL="0" distR="0">
            <wp:extent cx="6030551" cy="2845125"/>
            <wp:effectExtent l="25400" t="25400" r="14649" b="0"/>
            <wp:docPr id="15" name="C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42460" w:rsidRPr="009622FC" w:rsidRDefault="00B42460" w:rsidP="00B42460">
      <w:pPr>
        <w:jc w:val="both"/>
        <w:rPr>
          <w:rFonts w:ascii="Garamond" w:hAnsi="Garamond"/>
          <w:b/>
          <w:i/>
        </w:rPr>
      </w:pPr>
      <w:r w:rsidRPr="009622FC">
        <w:rPr>
          <w:rFonts w:ascii="Garamond" w:hAnsi="Garamond"/>
          <w:b/>
        </w:rPr>
        <w:t xml:space="preserve">The problem is that a high </w:t>
      </w:r>
      <w:r w:rsidR="00B925ED" w:rsidRPr="009622FC">
        <w:rPr>
          <w:rFonts w:ascii="Garamond" w:hAnsi="Garamond"/>
          <w:b/>
        </w:rPr>
        <w:t xml:space="preserve">per capita </w:t>
      </w:r>
      <w:r w:rsidRPr="009622FC">
        <w:rPr>
          <w:rFonts w:ascii="Garamond" w:hAnsi="Garamond"/>
          <w:b/>
        </w:rPr>
        <w:t>DBH is not followed by any decrease in the regional poverty rate.</w:t>
      </w:r>
      <w:r w:rsidRPr="009622FC">
        <w:rPr>
          <w:rFonts w:ascii="Garamond" w:hAnsi="Garamond"/>
          <w:b/>
          <w:i/>
        </w:rPr>
        <w:t xml:space="preserve"> </w:t>
      </w:r>
      <w:r w:rsidRPr="009622FC">
        <w:rPr>
          <w:rFonts w:ascii="Garamond" w:hAnsi="Garamond"/>
        </w:rPr>
        <w:t>Natural resources owned by one region should increase the welfare of society in general, as mandated by the 1945 Constitution.</w:t>
      </w:r>
      <w:r w:rsidRPr="009622FC">
        <w:rPr>
          <w:rFonts w:ascii="Garamond" w:hAnsi="Garamond"/>
          <w:b/>
        </w:rPr>
        <w:t xml:space="preserve"> </w:t>
      </w:r>
      <w:r w:rsidRPr="009622FC">
        <w:rPr>
          <w:rFonts w:ascii="Garamond" w:hAnsi="Garamond"/>
        </w:rPr>
        <w:t>However, this mandate seems inapplicable to those res</w:t>
      </w:r>
      <w:r w:rsidR="00B925ED" w:rsidRPr="009622FC">
        <w:rPr>
          <w:rFonts w:ascii="Garamond" w:hAnsi="Garamond"/>
        </w:rPr>
        <w:t>earch regions with abundant natural resources</w:t>
      </w:r>
      <w:r w:rsidRPr="009622FC">
        <w:rPr>
          <w:rFonts w:ascii="Garamond" w:hAnsi="Garamond"/>
        </w:rPr>
        <w:t>.</w:t>
      </w:r>
      <w:r w:rsidRPr="009622FC">
        <w:rPr>
          <w:rFonts w:ascii="Garamond" w:hAnsi="Garamond"/>
          <w:b/>
        </w:rPr>
        <w:t xml:space="preserve"> </w:t>
      </w:r>
      <w:r w:rsidRPr="009622FC">
        <w:rPr>
          <w:rFonts w:ascii="Garamond" w:hAnsi="Garamond"/>
        </w:rPr>
        <w:t xml:space="preserve">The correlation between Profit-Sharing Funds derived from natural resources (DBH-SDA) and the poverty rate is not necessarily directly proportional. Regions with high DBH-SDA outcomes are found to have populations with increasing </w:t>
      </w:r>
      <w:r w:rsidR="00B925ED" w:rsidRPr="009622FC">
        <w:rPr>
          <w:rFonts w:ascii="Garamond" w:hAnsi="Garamond"/>
        </w:rPr>
        <w:t xml:space="preserve">levels of </w:t>
      </w:r>
      <w:r w:rsidRPr="009622FC">
        <w:rPr>
          <w:rFonts w:ascii="Garamond" w:hAnsi="Garamond"/>
        </w:rPr>
        <w:t xml:space="preserve">poverty. Musi Banyuasin district has the highest DBH-SDA, but also has the highest percentage of people classified as poor in its </w:t>
      </w:r>
      <w:r w:rsidRPr="009622FC">
        <w:rPr>
          <w:rFonts w:ascii="Garamond" w:hAnsi="Garamond"/>
        </w:rPr>
        <w:lastRenderedPageBreak/>
        <w:t>population. The same applies to Bulungan and Musi Rawas districts, in which the percentage of poor people in the population is much greater than that of Kubu Raya and Sintang districts, where the DBH-SDAs are smaller. In these three districts, more than 15 percent of the population lives in poverty, which is well above the national average of 7.6 percent. Musi Banyuasin district even has a poverty rate reaching 20 percent. Berau district suprisingly shows something positive</w:t>
      </w:r>
      <w:r w:rsidR="00B925ED" w:rsidRPr="009622FC">
        <w:rPr>
          <w:rFonts w:ascii="Garamond" w:hAnsi="Garamond"/>
        </w:rPr>
        <w:t>, wherein</w:t>
      </w:r>
      <w:r w:rsidRPr="009622FC">
        <w:rPr>
          <w:rFonts w:ascii="Garamond" w:hAnsi="Garamond"/>
        </w:rPr>
        <w:t xml:space="preserve"> with its high DBH-SDA, it has a smaller population living in poverty than the other five districts. The percentage of its population living in poverty is below the national average, at 6.6 percent. A condition such as this is re</w:t>
      </w:r>
      <w:r w:rsidR="00B925ED" w:rsidRPr="009622FC">
        <w:rPr>
          <w:rFonts w:ascii="Garamond" w:hAnsi="Garamond"/>
        </w:rPr>
        <w:t>ferred to in some circles as a “</w:t>
      </w:r>
      <w:r w:rsidRPr="009622FC">
        <w:rPr>
          <w:rFonts w:ascii="Garamond" w:hAnsi="Garamond"/>
        </w:rPr>
        <w:t>resource curse</w:t>
      </w:r>
      <w:r w:rsidR="00B925ED" w:rsidRPr="009622FC">
        <w:rPr>
          <w:rFonts w:ascii="Garamond" w:hAnsi="Garamond"/>
        </w:rPr>
        <w:t>”</w:t>
      </w:r>
      <w:r w:rsidRPr="009622FC">
        <w:rPr>
          <w:rFonts w:ascii="Garamond" w:hAnsi="Garamond"/>
          <w:vertAlign w:val="superscript"/>
        </w:rPr>
        <w:footnoteReference w:id="41"/>
      </w:r>
      <w:r w:rsidRPr="009622FC">
        <w:rPr>
          <w:rFonts w:ascii="Garamond" w:hAnsi="Garamond"/>
        </w:rPr>
        <w:t>. The notion of a resource curse is really ironic</w:t>
      </w:r>
      <w:r w:rsidR="00B925ED" w:rsidRPr="009622FC">
        <w:rPr>
          <w:rFonts w:ascii="Garamond" w:hAnsi="Garamond"/>
        </w:rPr>
        <w:t>–</w:t>
      </w:r>
      <w:r w:rsidRPr="009622FC">
        <w:rPr>
          <w:rFonts w:ascii="Garamond" w:hAnsi="Garamond"/>
        </w:rPr>
        <w:t xml:space="preserve">a region that is rich in natural resources, with high revenue per capita, but at the same time is a center of poverty. </w:t>
      </w:r>
    </w:p>
    <w:p w:rsidR="00B42460" w:rsidRPr="009622FC" w:rsidRDefault="00273E5C" w:rsidP="00B42460">
      <w:pPr>
        <w:jc w:val="center"/>
        <w:rPr>
          <w:rFonts w:ascii="Garamond" w:hAnsi="Garamond"/>
          <w:b/>
          <w:lang w:val="en-US"/>
        </w:rPr>
      </w:pPr>
      <w:r w:rsidRPr="009622FC">
        <w:rPr>
          <w:rFonts w:ascii="Garamond" w:hAnsi="Garamond"/>
          <w:b/>
          <w:lang w:val="en-US"/>
        </w:rPr>
        <w:t>Graphic</w:t>
      </w:r>
      <w:r w:rsidR="000D1F88" w:rsidRPr="009622FC">
        <w:rPr>
          <w:rFonts w:ascii="Garamond" w:hAnsi="Garamond"/>
          <w:b/>
          <w:lang w:val="en-US"/>
        </w:rPr>
        <w:t xml:space="preserve"> 3.13 </w:t>
      </w:r>
      <w:r w:rsidR="00B42460" w:rsidRPr="009622FC">
        <w:rPr>
          <w:rFonts w:ascii="Garamond" w:hAnsi="Garamond"/>
          <w:b/>
          <w:lang w:val="en-US"/>
        </w:rPr>
        <w:t>DBH SDA Revenue and Poverty Levels, 2010</w:t>
      </w:r>
    </w:p>
    <w:p w:rsidR="00B42460" w:rsidRPr="009622FC" w:rsidRDefault="00805913" w:rsidP="00B42460">
      <w:pPr>
        <w:jc w:val="center"/>
        <w:rPr>
          <w:rFonts w:ascii="Garamond" w:hAnsi="Garamond"/>
          <w:b/>
          <w:noProof/>
          <w:u w:val="single"/>
          <w:lang w:val="en-US" w:eastAsia="en-US" w:bidi="ar-SA"/>
        </w:rPr>
      </w:pPr>
      <w:r w:rsidRPr="009622FC">
        <w:rPr>
          <w:rFonts w:ascii="Garamond" w:hAnsi="Garamond"/>
          <w:b/>
          <w:noProof/>
          <w:u w:val="single"/>
          <w:lang w:val="en-US" w:eastAsia="en-US" w:bidi="ar-SA"/>
        </w:rPr>
        <w:drawing>
          <wp:inline distT="0" distB="0" distL="0" distR="0">
            <wp:extent cx="5489067" cy="2503424"/>
            <wp:effectExtent l="12192" t="6096" r="6096" b="0"/>
            <wp:docPr id="16" name="C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42460" w:rsidRPr="009622FC" w:rsidRDefault="00B42460" w:rsidP="000D1F88">
      <w:pPr>
        <w:rPr>
          <w:rFonts w:ascii="Garamond" w:hAnsi="Garamond"/>
          <w:b/>
          <w:u w:val="single"/>
        </w:rPr>
      </w:pPr>
      <w:r w:rsidRPr="009622FC">
        <w:rPr>
          <w:rFonts w:ascii="Garamond" w:hAnsi="Garamond"/>
          <w:b/>
          <w:noProof/>
          <w:u w:val="single"/>
          <w:lang w:val="en-US" w:eastAsia="en-US" w:bidi="ar-SA"/>
        </w:rPr>
        <w:br w:type="page"/>
      </w:r>
      <w:r w:rsidRPr="009622FC">
        <w:rPr>
          <w:rFonts w:ascii="Garamond" w:hAnsi="Garamond"/>
          <w:b/>
          <w:u w:val="single"/>
        </w:rPr>
        <w:lastRenderedPageBreak/>
        <w:t xml:space="preserve">3.3 </w:t>
      </w:r>
      <w:r w:rsidR="000D1F88" w:rsidRPr="009622FC">
        <w:rPr>
          <w:rFonts w:ascii="Garamond" w:hAnsi="Garamond"/>
          <w:b/>
          <w:u w:val="single"/>
        </w:rPr>
        <w:t>Overview of Regional Spending</w:t>
      </w:r>
      <w:r w:rsidRPr="009622FC">
        <w:rPr>
          <w:rFonts w:ascii="Garamond" w:hAnsi="Garamond"/>
          <w:b/>
          <w:u w:val="single"/>
        </w:rPr>
        <w:t xml:space="preserve"> </w:t>
      </w:r>
    </w:p>
    <w:p w:rsidR="00B42460" w:rsidRPr="009622FC" w:rsidRDefault="00273E5C" w:rsidP="00B42460">
      <w:pPr>
        <w:jc w:val="center"/>
        <w:rPr>
          <w:rFonts w:ascii="Garamond" w:hAnsi="Garamond"/>
          <w:b/>
          <w:lang w:val="en-US"/>
        </w:rPr>
      </w:pPr>
      <w:r w:rsidRPr="009622FC">
        <w:rPr>
          <w:rFonts w:ascii="Garamond" w:hAnsi="Garamond"/>
          <w:b/>
        </w:rPr>
        <w:t>Graphic</w:t>
      </w:r>
      <w:r w:rsidR="003B1A61" w:rsidRPr="009622FC">
        <w:rPr>
          <w:rFonts w:ascii="Garamond" w:hAnsi="Garamond"/>
          <w:b/>
        </w:rPr>
        <w:t xml:space="preserve"> 3.14 </w:t>
      </w:r>
      <w:r w:rsidR="00B42460" w:rsidRPr="009622FC">
        <w:rPr>
          <w:rFonts w:ascii="Garamond" w:hAnsi="Garamond"/>
          <w:b/>
        </w:rPr>
        <w:t>Provincial Expenditure and Growth, 2009-2012</w:t>
      </w:r>
    </w:p>
    <w:p w:rsidR="00B42460" w:rsidRPr="009622FC" w:rsidRDefault="00805913" w:rsidP="00B42460">
      <w:pPr>
        <w:jc w:val="both"/>
        <w:rPr>
          <w:rFonts w:ascii="Garamond" w:hAnsi="Garamond"/>
          <w:b/>
          <w:noProof/>
          <w:lang w:val="en-US" w:eastAsia="en-US" w:bidi="ar-SA"/>
        </w:rPr>
      </w:pPr>
      <w:r w:rsidRPr="009622FC">
        <w:rPr>
          <w:rFonts w:ascii="Garamond" w:hAnsi="Garamond"/>
          <w:b/>
          <w:noProof/>
          <w:lang w:val="en-US" w:eastAsia="en-US" w:bidi="ar-SA"/>
        </w:rPr>
        <w:drawing>
          <wp:inline distT="0" distB="0" distL="0" distR="0">
            <wp:extent cx="5570914" cy="2180590"/>
            <wp:effectExtent l="25400" t="25400" r="17086" b="3810"/>
            <wp:docPr id="17" name="C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42460" w:rsidRPr="009622FC" w:rsidRDefault="00B42460" w:rsidP="00B42460">
      <w:pPr>
        <w:jc w:val="both"/>
        <w:rPr>
          <w:rFonts w:ascii="Garamond" w:hAnsi="Garamond"/>
          <w:lang w:val="en-US"/>
        </w:rPr>
      </w:pPr>
      <w:r w:rsidRPr="009622FC">
        <w:rPr>
          <w:rFonts w:ascii="Garamond" w:hAnsi="Garamond"/>
          <w:b/>
        </w:rPr>
        <w:t xml:space="preserve">In general, regional spending keeps increasing, but such an increase is always lower than the predetermined target. </w:t>
      </w:r>
      <w:r w:rsidRPr="009622FC">
        <w:rPr>
          <w:rFonts w:ascii="Garamond" w:hAnsi="Garamond"/>
        </w:rPr>
        <w:t>An increase occurs not only in growth, but nominally as well.</w:t>
      </w:r>
      <w:r w:rsidRPr="009622FC">
        <w:rPr>
          <w:rFonts w:ascii="Garamond" w:hAnsi="Garamond"/>
          <w:b/>
        </w:rPr>
        <w:t xml:space="preserve"> </w:t>
      </w:r>
      <w:r w:rsidRPr="009622FC">
        <w:rPr>
          <w:rFonts w:ascii="Garamond" w:hAnsi="Garamond"/>
        </w:rPr>
        <w:t xml:space="preserve">This condition contradicts the case of regional revenue, which in its planning stage is always projected to reach </w:t>
      </w:r>
      <w:r w:rsidR="00004A73" w:rsidRPr="009622FC">
        <w:rPr>
          <w:rFonts w:ascii="Garamond" w:hAnsi="Garamond"/>
        </w:rPr>
        <w:t xml:space="preserve">a </w:t>
      </w:r>
      <w:r w:rsidRPr="009622FC">
        <w:rPr>
          <w:rFonts w:ascii="Garamond" w:hAnsi="Garamond"/>
        </w:rPr>
        <w:t>smaller value than that obtained the previous year. Inversely, in the case of regional expenditure, plans project an increase from th</w:t>
      </w:r>
      <w:r w:rsidR="003E6557">
        <w:rPr>
          <w:rFonts w:ascii="Garamond" w:hAnsi="Garamond"/>
        </w:rPr>
        <w:t>e previous year, while in reali</w:t>
      </w:r>
      <w:r w:rsidR="003E6557">
        <w:rPr>
          <w:rFonts w:ascii="Garamond" w:hAnsi="Garamond"/>
          <w:lang w:val="en-US"/>
        </w:rPr>
        <w:t>s</w:t>
      </w:r>
      <w:r w:rsidRPr="009622FC">
        <w:rPr>
          <w:rFonts w:ascii="Garamond" w:hAnsi="Garamond"/>
        </w:rPr>
        <w:t>ation, regional spending is actually always lower than what has been planned for. From a financial management performance perspective, this result may indicate that a regional government is spending its budget efficiently, thus its spending is lower than what was planned. Alternatively, this state of affairs can also be interpreted as less than optimal budget absorption by the regional government with respect to its planning. Therefore, these symptoms are actually what we call a markup</w:t>
      </w:r>
      <w:r w:rsidRPr="009622FC">
        <w:rPr>
          <w:rFonts w:ascii="Garamond" w:hAnsi="Garamond"/>
          <w:i/>
        </w:rPr>
        <w:t xml:space="preserve"> </w:t>
      </w:r>
      <w:r w:rsidRPr="009622FC">
        <w:rPr>
          <w:rStyle w:val="FootnoteReference"/>
          <w:rFonts w:ascii="Garamond" w:hAnsi="Garamond"/>
          <w:lang w:val="en-US"/>
        </w:rPr>
        <w:footnoteReference w:id="42"/>
      </w:r>
      <w:r w:rsidRPr="009622FC">
        <w:rPr>
          <w:rFonts w:ascii="Garamond" w:hAnsi="Garamond"/>
        </w:rPr>
        <w:t>of regional expenditure planning. These findings further confirm previous findings of studies conducted by Seknas FITRA.</w:t>
      </w:r>
      <w:r w:rsidRPr="009622FC">
        <w:rPr>
          <w:rFonts w:ascii="Garamond" w:hAnsi="Garamond"/>
          <w:vertAlign w:val="superscript"/>
          <w:lang w:val="en-US"/>
        </w:rPr>
        <w:footnoteReference w:id="43"/>
      </w:r>
      <w:r w:rsidRPr="009622FC">
        <w:rPr>
          <w:rFonts w:ascii="Garamond" w:hAnsi="Garamond"/>
        </w:rPr>
        <w:t xml:space="preserve"> The tendency in regional spending is to plan for higher than the previous year, while the</w:t>
      </w:r>
      <w:r w:rsidR="003E6557">
        <w:rPr>
          <w:rFonts w:ascii="Garamond" w:hAnsi="Garamond"/>
        </w:rPr>
        <w:t xml:space="preserve"> reali</w:t>
      </w:r>
      <w:r w:rsidR="003E6557">
        <w:rPr>
          <w:rFonts w:ascii="Garamond" w:hAnsi="Garamond"/>
          <w:lang w:val="en-US"/>
        </w:rPr>
        <w:t>s</w:t>
      </w:r>
      <w:r w:rsidRPr="009622FC">
        <w:rPr>
          <w:rFonts w:ascii="Garamond" w:hAnsi="Garamond"/>
        </w:rPr>
        <w:t xml:space="preserve">ation is lower than what was planned. Spending in Bulungan, Berau and Musi Banyuasin districts in 2012 increased drastically. Their 2012 regional revenue, however, tended to be projected lower than the previous year, as can be seen in the table below. In budget studies conducted by Seknas FITRA from 2009-present, such patterns have always been repeated by regional governments. </w:t>
      </w:r>
    </w:p>
    <w:p w:rsidR="00B42460" w:rsidRPr="009622FC" w:rsidRDefault="00B42460" w:rsidP="00B42460">
      <w:pPr>
        <w:tabs>
          <w:tab w:val="left" w:pos="9360"/>
        </w:tabs>
        <w:spacing w:after="0"/>
        <w:jc w:val="center"/>
        <w:rPr>
          <w:rFonts w:ascii="Garamond" w:hAnsi="Garamond"/>
          <w:b/>
          <w:lang w:val="en-US"/>
        </w:rPr>
      </w:pPr>
      <w:r w:rsidRPr="009622FC">
        <w:rPr>
          <w:rFonts w:ascii="Garamond" w:hAnsi="Garamond"/>
          <w:b/>
        </w:rPr>
        <w:t>Table 3.2 Comparison of Origi</w:t>
      </w:r>
      <w:r w:rsidR="003E6557">
        <w:rPr>
          <w:rFonts w:ascii="Garamond" w:hAnsi="Garamond"/>
          <w:b/>
        </w:rPr>
        <w:t>nal (M), Amended (P), and Reali</w:t>
      </w:r>
      <w:r w:rsidR="003E6557">
        <w:rPr>
          <w:rFonts w:ascii="Garamond" w:hAnsi="Garamond"/>
          <w:b/>
          <w:lang w:val="en-US"/>
        </w:rPr>
        <w:t>s</w:t>
      </w:r>
      <w:r w:rsidRPr="009622FC">
        <w:rPr>
          <w:rFonts w:ascii="Garamond" w:hAnsi="Garamond"/>
          <w:b/>
        </w:rPr>
        <w:t>ed (R);</w:t>
      </w:r>
    </w:p>
    <w:p w:rsidR="00B42460" w:rsidRPr="009622FC" w:rsidRDefault="00B42460" w:rsidP="00B42460">
      <w:pPr>
        <w:tabs>
          <w:tab w:val="left" w:pos="9360"/>
        </w:tabs>
        <w:spacing w:after="0"/>
        <w:jc w:val="center"/>
        <w:rPr>
          <w:rFonts w:ascii="Garamond" w:hAnsi="Garamond"/>
          <w:b/>
        </w:rPr>
      </w:pPr>
      <w:r w:rsidRPr="009622FC">
        <w:rPr>
          <w:rFonts w:ascii="Garamond" w:hAnsi="Garamond"/>
          <w:b/>
        </w:rPr>
        <w:t>Provincial and Local Expenditure, 2009-2012, Based on Constant Price of 2012 (in billion Rp)</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884"/>
        <w:gridCol w:w="884"/>
        <w:gridCol w:w="884"/>
        <w:gridCol w:w="884"/>
        <w:gridCol w:w="884"/>
        <w:gridCol w:w="884"/>
        <w:gridCol w:w="884"/>
        <w:gridCol w:w="884"/>
        <w:gridCol w:w="884"/>
        <w:gridCol w:w="884"/>
      </w:tblGrid>
      <w:tr w:rsidR="00B42460" w:rsidRPr="009622FC">
        <w:trPr>
          <w:trHeight w:val="300"/>
          <w:jc w:val="center"/>
        </w:trPr>
        <w:tc>
          <w:tcPr>
            <w:tcW w:w="1834" w:type="dxa"/>
            <w:vMerge w:val="restart"/>
            <w:shd w:val="clear" w:color="auto" w:fill="ED7D31"/>
            <w:noWrap/>
            <w:vAlign w:val="center"/>
          </w:tcPr>
          <w:p w:rsidR="00B42460" w:rsidRPr="009622FC" w:rsidRDefault="00B42460" w:rsidP="00B42460">
            <w:pPr>
              <w:spacing w:after="0"/>
              <w:jc w:val="center"/>
              <w:rPr>
                <w:rFonts w:ascii="Garamond" w:hAnsi="Garamond"/>
                <w:b/>
                <w:bCs/>
                <w:color w:val="FFFFFF"/>
                <w:sz w:val="18"/>
                <w:szCs w:val="18"/>
              </w:rPr>
            </w:pPr>
            <w:r w:rsidRPr="009622FC">
              <w:rPr>
                <w:rFonts w:ascii="Garamond" w:hAnsi="Garamond"/>
                <w:b/>
                <w:bCs/>
                <w:color w:val="FFFFFF"/>
                <w:sz w:val="18"/>
                <w:szCs w:val="18"/>
              </w:rPr>
              <w:t>District/Province</w:t>
            </w:r>
          </w:p>
        </w:tc>
        <w:tc>
          <w:tcPr>
            <w:tcW w:w="2652" w:type="dxa"/>
            <w:gridSpan w:val="3"/>
            <w:shd w:val="clear" w:color="auto" w:fill="ED7D31"/>
            <w:noWrap/>
            <w:vAlign w:val="center"/>
          </w:tcPr>
          <w:p w:rsidR="00B42460" w:rsidRPr="009622FC" w:rsidRDefault="00B42460" w:rsidP="00B42460">
            <w:pPr>
              <w:spacing w:after="0"/>
              <w:jc w:val="center"/>
              <w:rPr>
                <w:rFonts w:ascii="Garamond" w:hAnsi="Garamond"/>
                <w:b/>
                <w:bCs/>
                <w:color w:val="FFFFFF"/>
                <w:sz w:val="18"/>
                <w:szCs w:val="18"/>
              </w:rPr>
            </w:pPr>
            <w:r w:rsidRPr="009622FC">
              <w:rPr>
                <w:rFonts w:ascii="Garamond" w:hAnsi="Garamond"/>
                <w:b/>
                <w:bCs/>
                <w:color w:val="FFFFFF"/>
                <w:sz w:val="18"/>
                <w:szCs w:val="18"/>
              </w:rPr>
              <w:t>2009</w:t>
            </w:r>
          </w:p>
        </w:tc>
        <w:tc>
          <w:tcPr>
            <w:tcW w:w="2652" w:type="dxa"/>
            <w:gridSpan w:val="3"/>
            <w:shd w:val="clear" w:color="auto" w:fill="ED7D31"/>
            <w:noWrap/>
            <w:vAlign w:val="center"/>
          </w:tcPr>
          <w:p w:rsidR="00B42460" w:rsidRPr="009622FC" w:rsidRDefault="00B42460" w:rsidP="00B42460">
            <w:pPr>
              <w:spacing w:after="0"/>
              <w:jc w:val="center"/>
              <w:rPr>
                <w:rFonts w:ascii="Garamond" w:hAnsi="Garamond"/>
                <w:b/>
                <w:bCs/>
                <w:color w:val="FFFFFF"/>
                <w:sz w:val="18"/>
                <w:szCs w:val="18"/>
              </w:rPr>
            </w:pPr>
            <w:r w:rsidRPr="009622FC">
              <w:rPr>
                <w:rFonts w:ascii="Garamond" w:hAnsi="Garamond"/>
                <w:b/>
                <w:bCs/>
                <w:color w:val="FFFFFF"/>
                <w:sz w:val="18"/>
                <w:szCs w:val="18"/>
              </w:rPr>
              <w:t>2010</w:t>
            </w:r>
          </w:p>
        </w:tc>
        <w:tc>
          <w:tcPr>
            <w:tcW w:w="2652" w:type="dxa"/>
            <w:gridSpan w:val="3"/>
            <w:shd w:val="clear" w:color="auto" w:fill="ED7D31"/>
            <w:noWrap/>
            <w:vAlign w:val="center"/>
          </w:tcPr>
          <w:p w:rsidR="00B42460" w:rsidRPr="009622FC" w:rsidRDefault="00B42460" w:rsidP="00B42460">
            <w:pPr>
              <w:spacing w:after="0"/>
              <w:jc w:val="center"/>
              <w:rPr>
                <w:rFonts w:ascii="Garamond" w:hAnsi="Garamond"/>
                <w:b/>
                <w:bCs/>
                <w:color w:val="FFFFFF"/>
                <w:sz w:val="18"/>
                <w:szCs w:val="18"/>
              </w:rPr>
            </w:pPr>
            <w:r w:rsidRPr="009622FC">
              <w:rPr>
                <w:rFonts w:ascii="Garamond" w:hAnsi="Garamond"/>
                <w:b/>
                <w:bCs/>
                <w:color w:val="FFFFFF"/>
                <w:sz w:val="18"/>
                <w:szCs w:val="18"/>
              </w:rPr>
              <w:t>2011</w:t>
            </w:r>
          </w:p>
        </w:tc>
        <w:tc>
          <w:tcPr>
            <w:tcW w:w="884" w:type="dxa"/>
            <w:shd w:val="clear" w:color="auto" w:fill="ED7D31"/>
            <w:noWrap/>
            <w:vAlign w:val="center"/>
          </w:tcPr>
          <w:p w:rsidR="00B42460" w:rsidRPr="009622FC" w:rsidRDefault="00B42460" w:rsidP="00B42460">
            <w:pPr>
              <w:spacing w:after="0"/>
              <w:jc w:val="center"/>
              <w:rPr>
                <w:rFonts w:ascii="Garamond" w:hAnsi="Garamond"/>
                <w:b/>
                <w:bCs/>
                <w:color w:val="FFFFFF"/>
                <w:sz w:val="18"/>
                <w:szCs w:val="18"/>
              </w:rPr>
            </w:pPr>
            <w:r w:rsidRPr="009622FC">
              <w:rPr>
                <w:rFonts w:ascii="Garamond" w:hAnsi="Garamond"/>
                <w:b/>
                <w:bCs/>
                <w:color w:val="FFFFFF"/>
                <w:sz w:val="18"/>
                <w:szCs w:val="18"/>
              </w:rPr>
              <w:t>2012</w:t>
            </w:r>
          </w:p>
        </w:tc>
      </w:tr>
      <w:tr w:rsidR="00B42460" w:rsidRPr="009622FC">
        <w:trPr>
          <w:trHeight w:val="300"/>
          <w:jc w:val="center"/>
        </w:trPr>
        <w:tc>
          <w:tcPr>
            <w:tcW w:w="1834" w:type="dxa"/>
            <w:vMerge/>
            <w:shd w:val="clear" w:color="auto" w:fill="auto"/>
          </w:tcPr>
          <w:p w:rsidR="00B42460" w:rsidRPr="009622FC" w:rsidRDefault="00B42460" w:rsidP="00B42460">
            <w:pPr>
              <w:spacing w:after="0"/>
              <w:rPr>
                <w:rFonts w:ascii="Garamond" w:hAnsi="Garamond"/>
                <w:b/>
                <w:bCs/>
                <w:color w:val="000000"/>
                <w:sz w:val="18"/>
                <w:szCs w:val="18"/>
              </w:rPr>
            </w:pP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APBD-M</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APBD-P</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APBD-R</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APBD-M</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APBD-P</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APBD-R</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APBD-M</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APBD-P</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APBD-R</w:t>
            </w:r>
          </w:p>
        </w:tc>
        <w:tc>
          <w:tcPr>
            <w:tcW w:w="884" w:type="dxa"/>
            <w:shd w:val="clear" w:color="auto" w:fill="auto"/>
            <w:noWrap/>
            <w:vAlign w:val="center"/>
          </w:tcPr>
          <w:p w:rsidR="00B42460" w:rsidRPr="009622FC" w:rsidRDefault="00B42460" w:rsidP="00B42460">
            <w:pPr>
              <w:spacing w:after="0"/>
              <w:rPr>
                <w:rFonts w:ascii="Garamond" w:hAnsi="Garamond"/>
                <w:b/>
                <w:color w:val="000000"/>
                <w:sz w:val="18"/>
                <w:szCs w:val="18"/>
              </w:rPr>
            </w:pPr>
            <w:r w:rsidRPr="009622FC">
              <w:rPr>
                <w:rFonts w:ascii="Garamond" w:hAnsi="Garamond"/>
                <w:b/>
                <w:color w:val="000000"/>
                <w:sz w:val="18"/>
                <w:szCs w:val="18"/>
              </w:rPr>
              <w:t>APBD-M</w:t>
            </w:r>
          </w:p>
        </w:tc>
      </w:tr>
      <w:tr w:rsidR="00B42460" w:rsidRPr="009622FC">
        <w:trPr>
          <w:trHeight w:val="144"/>
          <w:jc w:val="center"/>
        </w:trPr>
        <w:tc>
          <w:tcPr>
            <w:tcW w:w="1834" w:type="dxa"/>
            <w:shd w:val="clear" w:color="auto" w:fill="auto"/>
            <w:noWrap/>
            <w:vAlign w:val="center"/>
          </w:tcPr>
          <w:p w:rsidR="00B42460" w:rsidRPr="009622FC" w:rsidRDefault="00B42460" w:rsidP="00B42460">
            <w:pPr>
              <w:spacing w:after="0"/>
              <w:rPr>
                <w:rFonts w:ascii="Garamond" w:hAnsi="Garamond"/>
                <w:b/>
                <w:bCs/>
                <w:color w:val="000000"/>
                <w:sz w:val="18"/>
                <w:szCs w:val="18"/>
              </w:rPr>
            </w:pPr>
            <w:r w:rsidRPr="009622FC">
              <w:rPr>
                <w:rFonts w:ascii="Garamond" w:hAnsi="Garamond"/>
                <w:b/>
                <w:bCs/>
                <w:color w:val="000000"/>
                <w:sz w:val="18"/>
                <w:szCs w:val="18"/>
              </w:rPr>
              <w:t>Musi Banyuasin</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1,386.5</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1,507.2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1,389.7</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1,553.2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1,780.7</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1,612.8</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2,014.6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2,308.9</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2,130.2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2,420.1</w:t>
            </w:r>
          </w:p>
        </w:tc>
      </w:tr>
      <w:tr w:rsidR="00B42460" w:rsidRPr="009622FC">
        <w:trPr>
          <w:trHeight w:val="144"/>
          <w:jc w:val="center"/>
        </w:trPr>
        <w:tc>
          <w:tcPr>
            <w:tcW w:w="1834" w:type="dxa"/>
            <w:shd w:val="clear" w:color="auto" w:fill="auto"/>
            <w:noWrap/>
            <w:vAlign w:val="center"/>
          </w:tcPr>
          <w:p w:rsidR="00B42460" w:rsidRPr="009622FC" w:rsidRDefault="00B42460" w:rsidP="00B42460">
            <w:pPr>
              <w:spacing w:after="0"/>
              <w:rPr>
                <w:rFonts w:ascii="Garamond" w:hAnsi="Garamond"/>
                <w:b/>
                <w:bCs/>
                <w:color w:val="000000"/>
                <w:sz w:val="18"/>
                <w:szCs w:val="18"/>
              </w:rPr>
            </w:pPr>
            <w:r w:rsidRPr="009622FC">
              <w:rPr>
                <w:rFonts w:ascii="Garamond" w:hAnsi="Garamond"/>
                <w:b/>
                <w:bCs/>
                <w:color w:val="000000"/>
                <w:sz w:val="18"/>
                <w:szCs w:val="18"/>
              </w:rPr>
              <w:t>Musi Rawas</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1,214.6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1,132.2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1,052.5</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1,269.5</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1,330.6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1,114.7</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1,101.4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1,220.8</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1,146.3</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1,232.8</w:t>
            </w:r>
          </w:p>
        </w:tc>
      </w:tr>
      <w:tr w:rsidR="00B42460" w:rsidRPr="009622FC">
        <w:trPr>
          <w:trHeight w:val="144"/>
          <w:jc w:val="center"/>
        </w:trPr>
        <w:tc>
          <w:tcPr>
            <w:tcW w:w="1834" w:type="dxa"/>
            <w:shd w:val="clear" w:color="auto" w:fill="auto"/>
            <w:noWrap/>
            <w:vAlign w:val="center"/>
          </w:tcPr>
          <w:p w:rsidR="00B42460" w:rsidRPr="009622FC" w:rsidRDefault="00B42460" w:rsidP="00B42460">
            <w:pPr>
              <w:spacing w:after="0"/>
              <w:rPr>
                <w:rFonts w:ascii="Garamond" w:hAnsi="Garamond"/>
                <w:b/>
                <w:bCs/>
                <w:color w:val="000000"/>
                <w:sz w:val="18"/>
                <w:szCs w:val="18"/>
              </w:rPr>
            </w:pPr>
            <w:r w:rsidRPr="009622FC">
              <w:rPr>
                <w:rFonts w:ascii="Garamond" w:hAnsi="Garamond"/>
                <w:b/>
                <w:bCs/>
                <w:color w:val="000000"/>
                <w:sz w:val="18"/>
                <w:szCs w:val="18"/>
              </w:rPr>
              <w:t>Sintang</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746.1</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803.3</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740.3</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775.5</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852.2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774.4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828.7</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932.4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816.8</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932.1</w:t>
            </w:r>
          </w:p>
        </w:tc>
      </w:tr>
      <w:tr w:rsidR="00B42460" w:rsidRPr="009622FC">
        <w:trPr>
          <w:trHeight w:val="144"/>
          <w:jc w:val="center"/>
        </w:trPr>
        <w:tc>
          <w:tcPr>
            <w:tcW w:w="1834" w:type="dxa"/>
            <w:shd w:val="clear" w:color="auto" w:fill="auto"/>
            <w:noWrap/>
            <w:vAlign w:val="center"/>
          </w:tcPr>
          <w:p w:rsidR="00B42460" w:rsidRPr="009622FC" w:rsidRDefault="00B42460" w:rsidP="00B42460">
            <w:pPr>
              <w:spacing w:after="0"/>
              <w:rPr>
                <w:rFonts w:ascii="Garamond" w:hAnsi="Garamond"/>
                <w:b/>
                <w:bCs/>
                <w:color w:val="000000"/>
                <w:sz w:val="18"/>
                <w:szCs w:val="18"/>
              </w:rPr>
            </w:pPr>
            <w:r w:rsidRPr="009622FC">
              <w:rPr>
                <w:rFonts w:ascii="Garamond" w:hAnsi="Garamond"/>
                <w:b/>
                <w:bCs/>
                <w:color w:val="000000"/>
                <w:sz w:val="18"/>
                <w:szCs w:val="18"/>
              </w:rPr>
              <w:t>Kubu Raya</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523.4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545.6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502.6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623.4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742.4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671.2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777.4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828.6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780.2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837.3</w:t>
            </w:r>
          </w:p>
        </w:tc>
      </w:tr>
      <w:tr w:rsidR="00B42460" w:rsidRPr="009622FC">
        <w:trPr>
          <w:trHeight w:val="144"/>
          <w:jc w:val="center"/>
        </w:trPr>
        <w:tc>
          <w:tcPr>
            <w:tcW w:w="1834" w:type="dxa"/>
            <w:shd w:val="clear" w:color="auto" w:fill="auto"/>
            <w:noWrap/>
            <w:vAlign w:val="center"/>
          </w:tcPr>
          <w:p w:rsidR="00B42460" w:rsidRPr="009622FC" w:rsidRDefault="00B42460" w:rsidP="00B42460">
            <w:pPr>
              <w:spacing w:after="0"/>
              <w:rPr>
                <w:rFonts w:ascii="Garamond" w:hAnsi="Garamond"/>
                <w:b/>
                <w:bCs/>
                <w:color w:val="000000"/>
                <w:sz w:val="18"/>
                <w:szCs w:val="18"/>
              </w:rPr>
            </w:pPr>
            <w:r w:rsidRPr="009622FC">
              <w:rPr>
                <w:rFonts w:ascii="Garamond" w:hAnsi="Garamond"/>
                <w:b/>
                <w:bCs/>
                <w:color w:val="000000"/>
                <w:sz w:val="18"/>
                <w:szCs w:val="18"/>
              </w:rPr>
              <w:t>Berau</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1,797.7</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2,274.0</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1,391.4</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1,599.6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2,118.0</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1,463.6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1,524.0</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2,015.5</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1,446.9</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1,690.5</w:t>
            </w:r>
          </w:p>
        </w:tc>
      </w:tr>
      <w:tr w:rsidR="00B42460" w:rsidRPr="009622FC">
        <w:trPr>
          <w:trHeight w:val="144"/>
          <w:jc w:val="center"/>
        </w:trPr>
        <w:tc>
          <w:tcPr>
            <w:tcW w:w="1834" w:type="dxa"/>
            <w:shd w:val="clear" w:color="auto" w:fill="auto"/>
            <w:noWrap/>
            <w:vAlign w:val="center"/>
          </w:tcPr>
          <w:p w:rsidR="00B42460" w:rsidRPr="009622FC" w:rsidRDefault="00B42460" w:rsidP="00B42460">
            <w:pPr>
              <w:spacing w:after="0"/>
              <w:rPr>
                <w:rFonts w:ascii="Garamond" w:hAnsi="Garamond"/>
                <w:b/>
                <w:bCs/>
                <w:color w:val="000000"/>
                <w:sz w:val="18"/>
                <w:szCs w:val="18"/>
              </w:rPr>
            </w:pPr>
            <w:r w:rsidRPr="009622FC">
              <w:rPr>
                <w:rFonts w:ascii="Garamond" w:hAnsi="Garamond"/>
                <w:b/>
                <w:bCs/>
                <w:color w:val="000000"/>
                <w:sz w:val="18"/>
                <w:szCs w:val="18"/>
              </w:rPr>
              <w:t>Bulungan</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1,711.5</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1,870.9</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1,169.2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1,374.2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1,547.6</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1,124.2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1,346.1</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1,686.2</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1,064.9</w:t>
            </w:r>
          </w:p>
        </w:tc>
        <w:tc>
          <w:tcPr>
            <w:tcW w:w="884" w:type="dxa"/>
            <w:shd w:val="clear" w:color="auto" w:fill="auto"/>
            <w:noWrap/>
            <w:vAlign w:val="center"/>
          </w:tcPr>
          <w:p w:rsidR="00B42460" w:rsidRPr="009622FC" w:rsidRDefault="00B42460" w:rsidP="00B42460">
            <w:pPr>
              <w:spacing w:after="0"/>
              <w:jc w:val="right"/>
              <w:rPr>
                <w:rFonts w:ascii="Garamond" w:hAnsi="Garamond"/>
                <w:color w:val="000000"/>
                <w:sz w:val="18"/>
                <w:szCs w:val="18"/>
              </w:rPr>
            </w:pPr>
            <w:r w:rsidRPr="009622FC">
              <w:rPr>
                <w:rFonts w:ascii="Garamond" w:hAnsi="Garamond"/>
                <w:color w:val="000000"/>
                <w:sz w:val="18"/>
                <w:szCs w:val="18"/>
              </w:rPr>
              <w:t>1,570,5</w:t>
            </w:r>
          </w:p>
        </w:tc>
      </w:tr>
      <w:tr w:rsidR="00B42460" w:rsidRPr="009622FC">
        <w:trPr>
          <w:trHeight w:val="144"/>
          <w:jc w:val="center"/>
        </w:trPr>
        <w:tc>
          <w:tcPr>
            <w:tcW w:w="1834" w:type="dxa"/>
            <w:tcBorders>
              <w:bottom w:val="single" w:sz="4" w:space="0" w:color="auto"/>
            </w:tcBorders>
            <w:shd w:val="clear" w:color="auto" w:fill="auto"/>
            <w:noWrap/>
          </w:tcPr>
          <w:p w:rsidR="00B42460" w:rsidRPr="009622FC" w:rsidRDefault="00B42460" w:rsidP="00B42460">
            <w:pPr>
              <w:spacing w:after="0"/>
              <w:rPr>
                <w:rFonts w:ascii="Garamond" w:hAnsi="Garamond"/>
                <w:b/>
                <w:bCs/>
                <w:color w:val="000000"/>
                <w:sz w:val="18"/>
                <w:szCs w:val="18"/>
              </w:rPr>
            </w:pPr>
            <w:r w:rsidRPr="009622FC">
              <w:rPr>
                <w:rFonts w:ascii="Garamond" w:hAnsi="Garamond" w:cs="Calibri"/>
                <w:b/>
                <w:bCs/>
                <w:color w:val="000000"/>
                <w:sz w:val="18"/>
                <w:szCs w:val="18"/>
              </w:rPr>
              <w:t>South Sumatra</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3,140</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3,363</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2,671</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3,546</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3,828</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3,416</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3,665</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4,191</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3,912</w:t>
            </w:r>
          </w:p>
        </w:tc>
        <w:tc>
          <w:tcPr>
            <w:tcW w:w="884" w:type="dxa"/>
            <w:tcBorders>
              <w:bottom w:val="single" w:sz="4" w:space="0" w:color="auto"/>
            </w:tcBorders>
            <w:shd w:val="clear" w:color="auto" w:fill="auto"/>
            <w:noWrap/>
          </w:tcPr>
          <w:p w:rsidR="00B42460" w:rsidRPr="009622FC" w:rsidRDefault="00B42460" w:rsidP="00B42460">
            <w:pPr>
              <w:spacing w:after="0"/>
              <w:jc w:val="right"/>
              <w:rPr>
                <w:rFonts w:ascii="Garamond" w:hAnsi="Garamond"/>
                <w:color w:val="000000"/>
                <w:sz w:val="18"/>
                <w:szCs w:val="18"/>
              </w:rPr>
            </w:pPr>
            <w:r w:rsidRPr="009622FC">
              <w:rPr>
                <w:rFonts w:ascii="Garamond" w:hAnsi="Garamond" w:cs="Calibri"/>
                <w:color w:val="000000"/>
                <w:sz w:val="18"/>
                <w:szCs w:val="18"/>
              </w:rPr>
              <w:t>4,742</w:t>
            </w:r>
          </w:p>
        </w:tc>
      </w:tr>
      <w:tr w:rsidR="00B42460" w:rsidRPr="009622FC">
        <w:trPr>
          <w:trHeight w:val="144"/>
          <w:jc w:val="center"/>
        </w:trPr>
        <w:tc>
          <w:tcPr>
            <w:tcW w:w="1834" w:type="dxa"/>
            <w:tcBorders>
              <w:top w:val="single" w:sz="4" w:space="0" w:color="auto"/>
              <w:left w:val="single" w:sz="4" w:space="0" w:color="auto"/>
              <w:bottom w:val="single" w:sz="4" w:space="0" w:color="auto"/>
            </w:tcBorders>
            <w:shd w:val="clear" w:color="auto" w:fill="auto"/>
            <w:noWrap/>
          </w:tcPr>
          <w:p w:rsidR="00B42460" w:rsidRPr="009622FC" w:rsidRDefault="00B42460" w:rsidP="00B42460">
            <w:pPr>
              <w:spacing w:after="0"/>
              <w:rPr>
                <w:rFonts w:ascii="Garamond" w:eastAsia="Times New Roman" w:hAnsi="Garamond" w:cs="Calibri"/>
                <w:b/>
                <w:bCs/>
                <w:color w:val="000000"/>
                <w:sz w:val="18"/>
                <w:szCs w:val="18"/>
              </w:rPr>
            </w:pPr>
            <w:r w:rsidRPr="009622FC">
              <w:rPr>
                <w:rFonts w:ascii="Garamond" w:hAnsi="Garamond" w:cs="Calibri"/>
                <w:b/>
                <w:bCs/>
                <w:color w:val="000000"/>
                <w:sz w:val="18"/>
                <w:szCs w:val="18"/>
              </w:rPr>
              <w:t>West Kalimantan</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1,744</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2,050</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1,856</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1,842</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1,983</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1,869</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1,905</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2,239</w:t>
            </w:r>
          </w:p>
        </w:tc>
        <w:tc>
          <w:tcPr>
            <w:tcW w:w="884" w:type="dxa"/>
            <w:tcBorders>
              <w:top w:val="single" w:sz="4" w:space="0" w:color="auto"/>
              <w:bottom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2,051</w:t>
            </w:r>
          </w:p>
        </w:tc>
        <w:tc>
          <w:tcPr>
            <w:tcW w:w="884" w:type="dxa"/>
            <w:tcBorders>
              <w:top w:val="single" w:sz="4" w:space="0" w:color="auto"/>
              <w:bottom w:val="single" w:sz="4" w:space="0" w:color="auto"/>
              <w:right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2,902</w:t>
            </w:r>
          </w:p>
        </w:tc>
      </w:tr>
      <w:tr w:rsidR="00B42460" w:rsidRPr="009622FC">
        <w:trPr>
          <w:trHeight w:val="144"/>
          <w:jc w:val="center"/>
        </w:trPr>
        <w:tc>
          <w:tcPr>
            <w:tcW w:w="1834" w:type="dxa"/>
            <w:tcBorders>
              <w:top w:val="single" w:sz="4" w:space="0" w:color="auto"/>
            </w:tcBorders>
            <w:shd w:val="clear" w:color="auto" w:fill="auto"/>
            <w:noWrap/>
          </w:tcPr>
          <w:p w:rsidR="00B42460" w:rsidRPr="009622FC" w:rsidRDefault="00B42460" w:rsidP="00B42460">
            <w:pPr>
              <w:spacing w:after="0"/>
              <w:rPr>
                <w:rFonts w:ascii="Garamond" w:eastAsia="Times New Roman" w:hAnsi="Garamond" w:cs="Calibri"/>
                <w:b/>
                <w:bCs/>
                <w:color w:val="000000"/>
                <w:sz w:val="18"/>
                <w:szCs w:val="18"/>
              </w:rPr>
            </w:pPr>
            <w:r w:rsidRPr="009622FC">
              <w:rPr>
                <w:rFonts w:ascii="Garamond" w:hAnsi="Garamond" w:cs="Calibri"/>
                <w:b/>
                <w:bCs/>
                <w:color w:val="000000"/>
                <w:sz w:val="18"/>
                <w:szCs w:val="18"/>
              </w:rPr>
              <w:t>East Kalimantan</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6,195</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8,507</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7,199</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6,573</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7,384</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6,506</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7,459</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9,715</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8,370</w:t>
            </w:r>
          </w:p>
        </w:tc>
        <w:tc>
          <w:tcPr>
            <w:tcW w:w="884" w:type="dxa"/>
            <w:tcBorders>
              <w:top w:val="single" w:sz="4" w:space="0" w:color="auto"/>
            </w:tcBorders>
            <w:shd w:val="clear" w:color="auto" w:fill="auto"/>
            <w:noWrap/>
          </w:tcPr>
          <w:p w:rsidR="00B42460" w:rsidRPr="009622FC" w:rsidRDefault="00B42460" w:rsidP="00B42460">
            <w:pPr>
              <w:spacing w:after="0"/>
              <w:jc w:val="right"/>
              <w:rPr>
                <w:rFonts w:ascii="Garamond" w:eastAsia="Times New Roman" w:hAnsi="Garamond" w:cs="Calibri"/>
                <w:color w:val="000000"/>
                <w:sz w:val="18"/>
                <w:szCs w:val="18"/>
              </w:rPr>
            </w:pPr>
            <w:r w:rsidRPr="009622FC">
              <w:rPr>
                <w:rFonts w:ascii="Garamond" w:hAnsi="Garamond" w:cs="Calibri"/>
                <w:color w:val="000000"/>
                <w:sz w:val="18"/>
                <w:szCs w:val="18"/>
              </w:rPr>
              <w:t>1,050</w:t>
            </w:r>
          </w:p>
        </w:tc>
      </w:tr>
    </w:tbl>
    <w:p w:rsidR="00B42460" w:rsidRPr="009622FC" w:rsidRDefault="00B42460" w:rsidP="00B42460">
      <w:pPr>
        <w:jc w:val="both"/>
        <w:rPr>
          <w:rFonts w:ascii="Garamond" w:hAnsi="Garamond"/>
          <w:lang w:val="en-US"/>
        </w:rPr>
      </w:pPr>
    </w:p>
    <w:p w:rsidR="00B42460" w:rsidRPr="009622FC" w:rsidRDefault="00325726" w:rsidP="00B42460">
      <w:pPr>
        <w:jc w:val="both"/>
        <w:rPr>
          <w:rFonts w:ascii="Garamond" w:hAnsi="Garamond"/>
          <w:lang w:val="en-US"/>
        </w:rPr>
      </w:pPr>
      <w:r>
        <w:rPr>
          <w:rFonts w:ascii="Garamond" w:hAnsi="Garamond"/>
          <w:noProof/>
          <w:lang w:val="en-US" w:eastAsia="en-US" w:bidi="ar-SA"/>
        </w:rPr>
        <w:lastRenderedPageBreak/>
        <w:pict>
          <v:shape id="Text Box 79" o:spid="_x0000_s1028" type="#_x0000_t202" style="position:absolute;left:0;text-align:left;margin-left:0;margin-top:41.1pt;width:251.6pt;height:233.6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">
            <v:textbox>
              <w:txbxContent>
                <w:p w:rsidR="005E5906" w:rsidRPr="00004054" w:rsidRDefault="005E5906" w:rsidP="00B42460">
                  <w:pPr>
                    <w:shd w:val="clear" w:color="auto" w:fill="C2D69B"/>
                    <w:rPr>
                      <w:b/>
                      <w:lang w:val="en-US"/>
                    </w:rPr>
                  </w:pPr>
                  <w:r>
                    <w:rPr>
                      <w:b/>
                      <w:lang w:val="en-US"/>
                    </w:rPr>
                    <w:t>Box</w:t>
                  </w:r>
                  <w:r>
                    <w:rPr>
                      <w:b/>
                    </w:rPr>
                    <w:t xml:space="preserve"> 3.2</w:t>
                  </w:r>
                  <w:r w:rsidRPr="00004054">
                    <w:rPr>
                      <w:b/>
                      <w:lang w:val="en-US"/>
                    </w:rPr>
                    <w:t xml:space="preserve"> </w:t>
                  </w:r>
                  <w:r>
                    <w:rPr>
                      <w:b/>
                      <w:lang w:val="en-US"/>
                    </w:rPr>
                    <w:t>Budget Politics during the APBD Amendment Period</w:t>
                  </w:r>
                </w:p>
                <w:p w:rsidR="005E5906" w:rsidRPr="00835B97" w:rsidRDefault="005E5906" w:rsidP="00B42460">
                  <w:pPr>
                    <w:shd w:val="clear" w:color="auto" w:fill="C2D69B"/>
                    <w:jc w:val="both"/>
                    <w:rPr>
                      <w:szCs w:val="24"/>
                    </w:rPr>
                  </w:pPr>
                  <w:r>
                    <w:rPr>
                      <w:szCs w:val="24"/>
                      <w:lang w:val="en-US"/>
                    </w:rPr>
                    <w:t xml:space="preserve">The budget amendment period is an important moment for the executive and legislative branches to carry out political negotiations regarding proposals to increase or reduce budget allocations for each activity. In a previous study by Seknas FITRA, the budget amendment period was found to be a moment for “budget politics”, because this is the time for intense debate between the executive and legislative as both sides each have their own agenda. Secondly, this is the time when political decisions are not very transparent and are under weak public control. </w:t>
                  </w:r>
                </w:p>
                <w:p w:rsidR="005E5906" w:rsidRPr="00835B97" w:rsidRDefault="005E5906" w:rsidP="00B42460">
                  <w:pPr>
                    <w:shd w:val="clear" w:color="auto" w:fill="C2D69B"/>
                    <w:jc w:val="both"/>
                    <w:rPr>
                      <w:sz w:val="24"/>
                      <w:szCs w:val="24"/>
                      <w:lang w:val="en-US"/>
                    </w:rPr>
                  </w:pPr>
                </w:p>
                <w:p w:rsidR="005E5906" w:rsidRDefault="005E5906" w:rsidP="00B42460">
                  <w:pPr>
                    <w:shd w:val="clear" w:color="auto" w:fill="C2D69B"/>
                  </w:pPr>
                </w:p>
              </w:txbxContent>
            </v:textbox>
            <w10:wrap type="square" anchorx="margin"/>
          </v:shape>
        </w:pict>
      </w:r>
      <w:r w:rsidR="00B42460" w:rsidRPr="009622FC">
        <w:rPr>
          <w:rFonts w:ascii="Garamond" w:hAnsi="Garamond"/>
        </w:rPr>
        <w:t>The table above explains that a markup</w:t>
      </w:r>
      <w:r w:rsidR="00B42460" w:rsidRPr="009622FC">
        <w:rPr>
          <w:rFonts w:ascii="Garamond" w:hAnsi="Garamond"/>
          <w:i/>
        </w:rPr>
        <w:t xml:space="preserve"> </w:t>
      </w:r>
      <w:r w:rsidR="00B42460" w:rsidRPr="009622FC">
        <w:rPr>
          <w:rFonts w:ascii="Garamond" w:hAnsi="Garamond"/>
        </w:rPr>
        <w:t xml:space="preserve">of regional expenditure planning occurs in two patterns: </w:t>
      </w:r>
      <w:r w:rsidR="00B42460" w:rsidRPr="009622FC">
        <w:rPr>
          <w:rFonts w:ascii="Garamond" w:hAnsi="Garamond"/>
          <w:b/>
        </w:rPr>
        <w:t>Firstly, the expenditure value for APBD-Rea</w:t>
      </w:r>
      <w:r w:rsidR="003E6557">
        <w:rPr>
          <w:rFonts w:ascii="Garamond" w:hAnsi="Garamond"/>
          <w:b/>
        </w:rPr>
        <w:t>li</w:t>
      </w:r>
      <w:r w:rsidR="003E6557">
        <w:rPr>
          <w:rFonts w:ascii="Garamond" w:hAnsi="Garamond"/>
          <w:b/>
          <w:lang w:val="en-US"/>
        </w:rPr>
        <w:t>s</w:t>
      </w:r>
      <w:r w:rsidR="00B42460" w:rsidRPr="009622FC">
        <w:rPr>
          <w:rFonts w:ascii="Garamond" w:hAnsi="Garamond"/>
          <w:b/>
        </w:rPr>
        <w:t xml:space="preserve">ation is always lower than the expenditure value for APBD-Amendment. Secondly, the expenditure value for APBD-Amendment is always higher than the regional expenditure target for APBD-Original. </w:t>
      </w:r>
      <w:r w:rsidR="00B42460" w:rsidRPr="009622FC">
        <w:rPr>
          <w:rFonts w:ascii="Garamond" w:hAnsi="Garamond"/>
        </w:rPr>
        <w:t xml:space="preserve">The two patterns are consistently repeated over the three consecutive years, as we can see in the table above. The APBD amendment period is a crucial moment for the executive and legislative to carry out their budget politics. </w:t>
      </w:r>
    </w:p>
    <w:p w:rsidR="00B42460" w:rsidRPr="009622FC" w:rsidRDefault="00B42460" w:rsidP="00B42460">
      <w:pPr>
        <w:jc w:val="both"/>
        <w:rPr>
          <w:rFonts w:ascii="Garamond" w:hAnsi="Garamond"/>
        </w:rPr>
      </w:pPr>
      <w:r w:rsidRPr="009622FC">
        <w:rPr>
          <w:rFonts w:ascii="Garamond" w:hAnsi="Garamond"/>
        </w:rPr>
        <w:t>Regional expenditure by provincial governments grew in the period 2009-2012, based on constant prices from 2012. Only the province of East Kalimantan in its 2010 expenditure experienced a decline of Rp692 billion, or a fall of 9.6 percent from the previous year. Meanwhile, at the district level, expenditure growth tended to fluctuate, and in the case of Kubu Raya even went into decline.</w:t>
      </w:r>
    </w:p>
    <w:p w:rsidR="00B42460" w:rsidRPr="009622FC" w:rsidRDefault="00273E5C" w:rsidP="00B42460">
      <w:pPr>
        <w:jc w:val="center"/>
        <w:rPr>
          <w:rFonts w:ascii="Garamond" w:hAnsi="Garamond"/>
          <w:b/>
        </w:rPr>
      </w:pPr>
      <w:r w:rsidRPr="009622FC">
        <w:rPr>
          <w:rFonts w:ascii="Garamond" w:hAnsi="Garamond"/>
          <w:b/>
        </w:rPr>
        <w:t>Graphic</w:t>
      </w:r>
      <w:r w:rsidR="000D1F88" w:rsidRPr="009622FC">
        <w:rPr>
          <w:rFonts w:ascii="Garamond" w:hAnsi="Garamond"/>
          <w:b/>
        </w:rPr>
        <w:t xml:space="preserve"> 3.15 </w:t>
      </w:r>
      <w:r w:rsidR="00B42460" w:rsidRPr="009622FC">
        <w:rPr>
          <w:rFonts w:ascii="Garamond" w:hAnsi="Garamond"/>
          <w:b/>
        </w:rPr>
        <w:t>District Expenditure and Growth, 2009-2012</w:t>
      </w:r>
    </w:p>
    <w:p w:rsidR="00B42460" w:rsidRPr="009622FC" w:rsidRDefault="00805913" w:rsidP="00B42460">
      <w:pPr>
        <w:jc w:val="center"/>
        <w:rPr>
          <w:rFonts w:ascii="Garamond" w:hAnsi="Garamond"/>
          <w:b/>
        </w:rPr>
      </w:pPr>
      <w:r w:rsidRPr="009622FC">
        <w:rPr>
          <w:rFonts w:ascii="Garamond" w:hAnsi="Garamond"/>
          <w:b/>
          <w:noProof/>
          <w:lang w:val="en-US" w:eastAsia="en-US" w:bidi="ar-SA"/>
        </w:rPr>
        <w:drawing>
          <wp:inline distT="0" distB="0" distL="0" distR="0">
            <wp:extent cx="5340970" cy="2234360"/>
            <wp:effectExtent l="11863" t="5821" r="5932" b="3274"/>
            <wp:docPr id="18" name="C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42460" w:rsidRPr="009622FC" w:rsidRDefault="00FB34D9" w:rsidP="00B42460">
      <w:pPr>
        <w:jc w:val="both"/>
        <w:rPr>
          <w:rFonts w:ascii="Garamond" w:hAnsi="Garamond"/>
          <w:b/>
        </w:rPr>
      </w:pPr>
      <w:r w:rsidRPr="009622FC">
        <w:rPr>
          <w:rFonts w:ascii="Garamond" w:hAnsi="Garamond"/>
          <w:b/>
        </w:rPr>
        <w:t>Increased spending on</w:t>
      </w:r>
      <w:r w:rsidR="00B42460" w:rsidRPr="009622FC">
        <w:rPr>
          <w:rFonts w:ascii="Garamond" w:hAnsi="Garamond"/>
          <w:b/>
        </w:rPr>
        <w:t xml:space="preserve"> civil servants in the districts of Berau and Bulungan has reduced the portion of capital spending. The opposite occurred in Kubu Raya district, where civil servant spending increased. </w:t>
      </w:r>
      <w:r w:rsidR="00B42460" w:rsidRPr="009622FC">
        <w:rPr>
          <w:rFonts w:ascii="Garamond" w:hAnsi="Garamond"/>
        </w:rPr>
        <w:t>Earlier research by FITRA in 72 districts/municipalities across Indonesia found that civil servant spending absorbs the greatest portion of APBD spending, ranging from 51-53 percent, and capital spending from 22-23 percent</w:t>
      </w:r>
      <w:r w:rsidR="00B42460" w:rsidRPr="009622FC">
        <w:rPr>
          <w:rFonts w:ascii="Garamond" w:hAnsi="Garamond"/>
          <w:vertAlign w:val="superscript"/>
          <w:lang w:val="en-US"/>
        </w:rPr>
        <w:footnoteReference w:id="44"/>
      </w:r>
      <w:r w:rsidR="00B42460" w:rsidRPr="009622FC">
        <w:rPr>
          <w:rFonts w:ascii="Garamond" w:hAnsi="Garamond"/>
        </w:rPr>
        <w:t>. However, this study found that the average spending by civil servants during 2009-2012 constituted 38 percent of the total regional spending, meaning that it was lower than the previous findings</w:t>
      </w:r>
      <w:r w:rsidR="00B42460" w:rsidRPr="009622FC">
        <w:rPr>
          <w:rFonts w:ascii="Garamond" w:hAnsi="Garamond"/>
          <w:b/>
        </w:rPr>
        <w:t xml:space="preserve">. </w:t>
      </w:r>
      <w:r w:rsidR="00B42460" w:rsidRPr="009622FC">
        <w:rPr>
          <w:rFonts w:ascii="Garamond" w:hAnsi="Garamond"/>
        </w:rPr>
        <w:t>The districts of Berau, Bulungan and Musi Banyuasin showed average civil servant spending of 32 percent, Musi Rawas and Sintang at 42 percent, and Kubu Raya at 50 percent of the total regional spending. Despite their seemingly higher civil servant spending when compared to other districts, Musi Rawas, Sintang and Kubu Raya actually decreased levels of public spending from 2009-2012. As for Berau and Bulungan districts, while it might seem that their civil servant expenditure was lower, it actually increased over the same period.</w:t>
      </w:r>
    </w:p>
    <w:p w:rsidR="00B42460" w:rsidRPr="009622FC" w:rsidRDefault="00254E2D" w:rsidP="00B42460">
      <w:pPr>
        <w:jc w:val="center"/>
        <w:rPr>
          <w:rFonts w:ascii="Garamond" w:hAnsi="Garamond"/>
          <w:b/>
        </w:rPr>
      </w:pPr>
      <w:r>
        <w:rPr>
          <w:rFonts w:ascii="Garamond" w:hAnsi="Garamond"/>
          <w:b/>
        </w:rPr>
        <w:lastRenderedPageBreak/>
        <w:t>Graphi</w:t>
      </w:r>
      <w:r>
        <w:rPr>
          <w:rFonts w:ascii="Garamond" w:hAnsi="Garamond"/>
          <w:b/>
          <w:lang w:val="en-US"/>
        </w:rPr>
        <w:t>c</w:t>
      </w:r>
      <w:r w:rsidR="00E67585" w:rsidRPr="009622FC">
        <w:rPr>
          <w:rFonts w:ascii="Garamond" w:hAnsi="Garamond"/>
          <w:b/>
        </w:rPr>
        <w:t xml:space="preserve"> 3.16 </w:t>
      </w:r>
      <w:r w:rsidR="00B42460" w:rsidRPr="009622FC">
        <w:rPr>
          <w:rFonts w:ascii="Garamond" w:hAnsi="Garamond"/>
          <w:b/>
        </w:rPr>
        <w:t>Composition of District Spending, 2009-2012</w:t>
      </w:r>
    </w:p>
    <w:p w:rsidR="00B42460" w:rsidRPr="009622FC" w:rsidRDefault="00805913" w:rsidP="00B42460">
      <w:pPr>
        <w:jc w:val="center"/>
        <w:rPr>
          <w:rFonts w:ascii="Garamond" w:hAnsi="Garamond"/>
          <w:b/>
        </w:rPr>
      </w:pPr>
      <w:r w:rsidRPr="009622FC">
        <w:rPr>
          <w:rFonts w:ascii="Garamond" w:hAnsi="Garamond"/>
          <w:b/>
          <w:noProof/>
          <w:lang w:val="en-US" w:eastAsia="en-US" w:bidi="ar-SA"/>
        </w:rPr>
        <w:drawing>
          <wp:inline distT="0" distB="0" distL="0" distR="0">
            <wp:extent cx="5892219" cy="2326528"/>
            <wp:effectExtent l="13087" t="7409" r="6544" b="5403"/>
            <wp:docPr id="19" name="C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42460" w:rsidRPr="009622FC" w:rsidRDefault="00B42460" w:rsidP="00B42460">
      <w:pPr>
        <w:jc w:val="both"/>
        <w:rPr>
          <w:rFonts w:ascii="Garamond" w:hAnsi="Garamond"/>
        </w:rPr>
      </w:pPr>
      <w:r w:rsidRPr="009622FC">
        <w:rPr>
          <w:rFonts w:ascii="Garamond" w:hAnsi="Garamond"/>
        </w:rPr>
        <w:t>In the meantime,</w:t>
      </w:r>
      <w:r w:rsidRPr="009622FC">
        <w:rPr>
          <w:rFonts w:ascii="Garamond" w:hAnsi="Garamond"/>
          <w:b/>
        </w:rPr>
        <w:t xml:space="preserve"> </w:t>
      </w:r>
      <w:r w:rsidRPr="009622FC">
        <w:rPr>
          <w:rFonts w:ascii="Garamond" w:hAnsi="Garamond"/>
        </w:rPr>
        <w:t>capital expenditure markedly increased by an average of 34 percent in a period of four years. The districts of Musi Banyuasin and Berau allocated the greatest amount to capital expenditure, at an average of 42 percent. This allocation is higher than that spent on civil servants. In the districts of Sintang (18 percent) and Kubu Raya (28 percent) the allocation was relatively small but still increasing.</w:t>
      </w:r>
    </w:p>
    <w:p w:rsidR="00B42460" w:rsidRPr="009622FC" w:rsidRDefault="00325726" w:rsidP="00B42460">
      <w:pPr>
        <w:jc w:val="both"/>
        <w:rPr>
          <w:rFonts w:ascii="Garamond" w:hAnsi="Garamond"/>
          <w:lang w:val="en-US"/>
        </w:rPr>
      </w:pPr>
      <w:r>
        <w:rPr>
          <w:rFonts w:ascii="Garamond" w:hAnsi="Garamond"/>
          <w:noProof/>
          <w:lang w:val="en-US" w:eastAsia="en-US" w:bidi="ar-SA"/>
        </w:rPr>
        <w:pict>
          <v:shape id="Text Box 78" o:spid="_x0000_s1029" type="#_x0000_t202" style="position:absolute;left:0;text-align:left;margin-left:289.5pt;margin-top:63.55pt;width:178.65pt;height:218.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">
            <v:textbox>
              <w:txbxContent>
                <w:p w:rsidR="005E5906" w:rsidRPr="00F21BBC" w:rsidRDefault="005E5906" w:rsidP="00B42460">
                  <w:pPr>
                    <w:shd w:val="clear" w:color="auto" w:fill="E5B8B7"/>
                    <w:jc w:val="both"/>
                    <w:rPr>
                      <w:b/>
                      <w:szCs w:val="20"/>
                      <w:lang w:val="en-US"/>
                    </w:rPr>
                  </w:pPr>
                  <w:r>
                    <w:rPr>
                      <w:b/>
                      <w:szCs w:val="20"/>
                      <w:lang w:val="en-US"/>
                    </w:rPr>
                    <w:t>Box</w:t>
                  </w:r>
                  <w:r>
                    <w:rPr>
                      <w:b/>
                      <w:szCs w:val="20"/>
                    </w:rPr>
                    <w:t xml:space="preserve"> 3.3</w:t>
                  </w:r>
                  <w:r w:rsidRPr="00F21BBC">
                    <w:rPr>
                      <w:b/>
                      <w:szCs w:val="20"/>
                      <w:lang w:val="en-US"/>
                    </w:rPr>
                    <w:t xml:space="preserve"> </w:t>
                  </w:r>
                  <w:r>
                    <w:rPr>
                      <w:b/>
                      <w:szCs w:val="20"/>
                      <w:lang w:val="en-US"/>
                    </w:rPr>
                    <w:t>Expenditure Composition</w:t>
                  </w:r>
                  <w:r w:rsidRPr="00F21BBC">
                    <w:rPr>
                      <w:b/>
                      <w:szCs w:val="20"/>
                      <w:lang w:val="en-US"/>
                    </w:rPr>
                    <w:t xml:space="preserve"> </w:t>
                  </w:r>
                </w:p>
                <w:p w:rsidR="005E5906" w:rsidRPr="00F21BBC" w:rsidRDefault="005E5906" w:rsidP="00B42460">
                  <w:pPr>
                    <w:shd w:val="clear" w:color="auto" w:fill="E5B8B7"/>
                    <w:jc w:val="both"/>
                    <w:rPr>
                      <w:szCs w:val="20"/>
                      <w:lang w:val="en-US"/>
                    </w:rPr>
                  </w:pPr>
                  <w:r>
                    <w:rPr>
                      <w:szCs w:val="20"/>
                      <w:lang w:val="en-US"/>
                    </w:rPr>
                    <w:t>Regional expenditure based on type consists of</w:t>
                  </w:r>
                  <w:r w:rsidRPr="00F21BBC">
                    <w:rPr>
                      <w:szCs w:val="20"/>
                      <w:lang w:val="en-US"/>
                    </w:rPr>
                    <w:t xml:space="preserve"> </w:t>
                  </w:r>
                  <w:r>
                    <w:rPr>
                      <w:szCs w:val="20"/>
                      <w:lang w:val="en-US"/>
                    </w:rPr>
                    <w:t>civil servant spending</w:t>
                  </w:r>
                  <w:r w:rsidRPr="00835B97">
                    <w:rPr>
                      <w:szCs w:val="20"/>
                    </w:rPr>
                    <w:t xml:space="preserve">, </w:t>
                  </w:r>
                  <w:r>
                    <w:rPr>
                      <w:szCs w:val="20"/>
                    </w:rPr>
                    <w:t>spending on goods and services, capital expenditure and other spending.</w:t>
                  </w:r>
                  <w:r w:rsidRPr="00835B97">
                    <w:rPr>
                      <w:szCs w:val="20"/>
                    </w:rPr>
                    <w:t xml:space="preserve"> </w:t>
                  </w:r>
                  <w:r>
                    <w:rPr>
                      <w:szCs w:val="20"/>
                      <w:lang w:val="en-US"/>
                    </w:rPr>
                    <w:t>Other spending consists of interest expenditure</w:t>
                  </w:r>
                  <w:r w:rsidRPr="00835B97">
                    <w:rPr>
                      <w:szCs w:val="20"/>
                      <w:lang w:val="en-US"/>
                    </w:rPr>
                    <w:t>, subsidi</w:t>
                  </w:r>
                  <w:r>
                    <w:rPr>
                      <w:szCs w:val="20"/>
                      <w:lang w:val="en-US"/>
                    </w:rPr>
                    <w:t>es, social assistance and grants</w:t>
                  </w:r>
                  <w:r w:rsidRPr="00835B97">
                    <w:rPr>
                      <w:szCs w:val="20"/>
                      <w:lang w:val="en-US"/>
                    </w:rPr>
                    <w:t xml:space="preserve">, </w:t>
                  </w:r>
                  <w:r>
                    <w:rPr>
                      <w:szCs w:val="20"/>
                      <w:lang w:val="en-US"/>
                    </w:rPr>
                    <w:t>financial aid and unforeseen expenditure</w:t>
                  </w:r>
                  <w:r w:rsidRPr="00835B97">
                    <w:rPr>
                      <w:szCs w:val="20"/>
                      <w:lang w:val="en-US"/>
                    </w:rPr>
                    <w:t xml:space="preserve">. </w:t>
                  </w:r>
                  <w:r>
                    <w:rPr>
                      <w:szCs w:val="20"/>
                      <w:lang w:val="en-US"/>
                    </w:rPr>
                    <w:t>Capital expenditure is to pay for program activities</w:t>
                  </w:r>
                  <w:r w:rsidRPr="00835B97">
                    <w:rPr>
                      <w:szCs w:val="20"/>
                      <w:lang w:val="en-US"/>
                    </w:rPr>
                    <w:t xml:space="preserve"> </w:t>
                  </w:r>
                  <w:r>
                    <w:rPr>
                      <w:szCs w:val="20"/>
                      <w:lang w:val="en-US"/>
                    </w:rPr>
                    <w:t>related to infrastructure such as buildings, bridges and roads.</w:t>
                  </w:r>
                  <w:r w:rsidRPr="00835B97">
                    <w:rPr>
                      <w:szCs w:val="20"/>
                      <w:lang w:val="en-US"/>
                    </w:rPr>
                    <w:t xml:space="preserve"> </w:t>
                  </w:r>
                </w:p>
              </w:txbxContent>
            </v:textbox>
            <w10:wrap type="square" anchorx="margin"/>
          </v:shape>
        </w:pict>
      </w:r>
      <w:r w:rsidR="00B42460" w:rsidRPr="009622FC">
        <w:rPr>
          <w:rFonts w:ascii="Garamond" w:hAnsi="Garamond"/>
        </w:rPr>
        <w:t>The increasing allocation of capital expenditure is expected to drive regional economic growth and, particularly, improve public services and a supportive investment climate. This leads the central government, in this case the Minister of Home Affairs, to issue a regulation requesting regional governments to allocate their capital expenditure starting from the 2013 budget year at 29 percent of the total regional spending. This aimed to support the accleration of national priority programs.</w:t>
      </w:r>
      <w:r w:rsidR="00B42460" w:rsidRPr="009622FC">
        <w:rPr>
          <w:rStyle w:val="FootnoteReference"/>
          <w:rFonts w:ascii="Garamond" w:hAnsi="Garamond"/>
          <w:lang w:val="en-US"/>
        </w:rPr>
        <w:footnoteReference w:id="45"/>
      </w:r>
    </w:p>
    <w:p w:rsidR="00B42460" w:rsidRPr="009622FC" w:rsidRDefault="00B42460" w:rsidP="00B42460">
      <w:pPr>
        <w:jc w:val="both"/>
        <w:rPr>
          <w:rFonts w:ascii="Garamond" w:hAnsi="Garamond"/>
          <w:lang w:val="en-US"/>
        </w:rPr>
      </w:pPr>
      <w:r w:rsidRPr="009622FC">
        <w:rPr>
          <w:rFonts w:ascii="Garamond" w:hAnsi="Garamond"/>
          <w:b/>
        </w:rPr>
        <w:t xml:space="preserve">Spending on civil servants at the provincial level is almost equal to capital expenditure, except in the province of West Kalimantan. </w:t>
      </w:r>
      <w:r w:rsidRPr="009622FC">
        <w:rPr>
          <w:rFonts w:ascii="Garamond" w:hAnsi="Garamond"/>
        </w:rPr>
        <w:t xml:space="preserve">At the provincial level, average civil servant expenditure from 2009-2012 reached almost 20 percent of total regional spending. The amount decreased in proportion but nominally, saw an increase. The average proportion of civil servant expenditure in East Kalimantan province </w:t>
      </w:r>
      <w:r w:rsidR="00E43F6C" w:rsidRPr="009622FC">
        <w:rPr>
          <w:rFonts w:ascii="Garamond" w:hAnsi="Garamond"/>
        </w:rPr>
        <w:t>is only 12.8 percent and i</w:t>
      </w:r>
      <w:r w:rsidRPr="009622FC">
        <w:rPr>
          <w:rFonts w:ascii="Garamond" w:hAnsi="Garamond"/>
        </w:rPr>
        <w:t xml:space="preserve">s declining. Nominally, however, it has increased by Rp490 billion, from Rp773 billion in 2009 to Rp1.26 trillion in 2012. As for the provinces of West Kalimantan and South Sumatra, their average spending on civil servants was at 23 percent and decreasing, yet nominally showed an increase. As is the case of regional expenditure, in terms of capital spending the </w:t>
      </w:r>
      <w:r w:rsidR="0086099E" w:rsidRPr="009622FC">
        <w:rPr>
          <w:rFonts w:ascii="Garamond" w:hAnsi="Garamond"/>
        </w:rPr>
        <w:t xml:space="preserve">study provinces </w:t>
      </w:r>
      <w:r w:rsidRPr="009622FC">
        <w:rPr>
          <w:rFonts w:ascii="Garamond" w:hAnsi="Garamond"/>
        </w:rPr>
        <w:t>showed an average above 20 percent, exce</w:t>
      </w:r>
      <w:r w:rsidR="0086099E" w:rsidRPr="009622FC">
        <w:rPr>
          <w:rFonts w:ascii="Garamond" w:hAnsi="Garamond"/>
        </w:rPr>
        <w:t xml:space="preserve">pt for West Kalimantan, </w:t>
      </w:r>
      <w:r w:rsidRPr="009622FC">
        <w:rPr>
          <w:rFonts w:ascii="Garamond" w:hAnsi="Garamond"/>
        </w:rPr>
        <w:t xml:space="preserve">where 2012 capital expenditure projections were at just 13 percent. Capital expenditure in these three provinces indicated a tendency to increase. East Kalimantan showed a much higher figure for capital expenditure than for civil servant spending. </w:t>
      </w:r>
    </w:p>
    <w:p w:rsidR="00B42460" w:rsidRDefault="00B42460" w:rsidP="00B42460">
      <w:pPr>
        <w:jc w:val="both"/>
        <w:rPr>
          <w:rFonts w:ascii="Garamond" w:hAnsi="Garamond"/>
          <w:lang w:val="en-US"/>
        </w:rPr>
      </w:pPr>
    </w:p>
    <w:p w:rsidR="00254E2D" w:rsidRPr="00254E2D" w:rsidRDefault="00254E2D" w:rsidP="00B42460">
      <w:pPr>
        <w:jc w:val="both"/>
        <w:rPr>
          <w:rFonts w:ascii="Garamond" w:hAnsi="Garamond"/>
          <w:lang w:val="en-US"/>
        </w:rPr>
      </w:pPr>
    </w:p>
    <w:p w:rsidR="00B42460" w:rsidRPr="009622FC" w:rsidRDefault="00B42460" w:rsidP="00B42460">
      <w:pPr>
        <w:jc w:val="both"/>
        <w:rPr>
          <w:rFonts w:ascii="Garamond" w:hAnsi="Garamond"/>
        </w:rPr>
      </w:pPr>
      <w:r w:rsidRPr="009622FC">
        <w:rPr>
          <w:rFonts w:ascii="Garamond" w:hAnsi="Garamond"/>
          <w:b/>
        </w:rPr>
        <w:lastRenderedPageBreak/>
        <w:t>Spending on social assistance and grants absorbs one quarter of regional spending</w:t>
      </w:r>
      <w:r w:rsidRPr="009622FC">
        <w:rPr>
          <w:rFonts w:ascii="Garamond" w:hAnsi="Garamond"/>
        </w:rPr>
        <w:t>. In the provinces of South Sumatra and West Kalimantan, social assistance and grant spending</w:t>
      </w:r>
      <w:r w:rsidRPr="009622FC">
        <w:rPr>
          <w:rFonts w:ascii="Garamond" w:hAnsi="Garamond"/>
          <w:vertAlign w:val="superscript"/>
        </w:rPr>
        <w:footnoteReference w:id="46"/>
      </w:r>
      <w:r w:rsidRPr="009622FC">
        <w:rPr>
          <w:rFonts w:ascii="Garamond" w:hAnsi="Garamond"/>
        </w:rPr>
        <w:t xml:space="preserve"> increased fairly significantly. During 2009-2012, this type of spending in West Kalimantan increased by 4 percent to 26.1 percent in 2012. A similar result was found in Sout</w:t>
      </w:r>
      <w:r w:rsidR="003E6557">
        <w:rPr>
          <w:rFonts w:ascii="Garamond" w:hAnsi="Garamond"/>
        </w:rPr>
        <w:t>h Sumatra, where in 2010, reali</w:t>
      </w:r>
      <w:r w:rsidR="003E6557">
        <w:rPr>
          <w:rFonts w:ascii="Garamond" w:hAnsi="Garamond"/>
          <w:lang w:val="en-US"/>
        </w:rPr>
        <w:t>s</w:t>
      </w:r>
      <w:r w:rsidRPr="009622FC">
        <w:rPr>
          <w:rFonts w:ascii="Garamond" w:hAnsi="Garamond"/>
        </w:rPr>
        <w:t xml:space="preserve">ation of social assistance and grant reached 4.2 percent, increased to 15.2 percent in 2011, and increased even further to 24.7 percent in 2012. This increase exceeded capital expenditure and civil servant spending. Almost one quarter of the regional spending was allocated for social assistance and grants. FITRA's findings in its 2010 study on regional budgets suggested that allocations for social assistance and grants have been a </w:t>
      </w:r>
      <w:r w:rsidRPr="009622FC">
        <w:rPr>
          <w:rFonts w:ascii="Garamond" w:hAnsi="Garamond"/>
          <w:i/>
        </w:rPr>
        <w:t>bancakan</w:t>
      </w:r>
      <w:r w:rsidRPr="009622FC">
        <w:rPr>
          <w:rFonts w:ascii="Garamond" w:hAnsi="Garamond"/>
        </w:rPr>
        <w:t xml:space="preserve"> (banquet) or political tool for regional general elections (pilkada) used in the interests of the incumbent</w:t>
      </w:r>
      <w:r w:rsidRPr="009622FC">
        <w:rPr>
          <w:rFonts w:ascii="Garamond" w:hAnsi="Garamond"/>
          <w:vertAlign w:val="superscript"/>
        </w:rPr>
        <w:footnoteReference w:id="47"/>
      </w:r>
      <w:r w:rsidRPr="009622FC">
        <w:rPr>
          <w:rFonts w:ascii="Garamond" w:hAnsi="Garamond"/>
        </w:rPr>
        <w:t xml:space="preserve"> leader. Additionally, the budget for social assistance and grants based on BPK audits still showed problems such as distribution to vertical institutions of the central government, incomplete supp</w:t>
      </w:r>
      <w:r w:rsidR="003E6557">
        <w:rPr>
          <w:rFonts w:ascii="Garamond" w:hAnsi="Garamond"/>
        </w:rPr>
        <w:t>orting evidence of budget utili</w:t>
      </w:r>
      <w:r w:rsidR="003E6557">
        <w:rPr>
          <w:rFonts w:ascii="Garamond" w:hAnsi="Garamond"/>
          <w:lang w:val="en-US"/>
        </w:rPr>
        <w:t>s</w:t>
      </w:r>
      <w:r w:rsidRPr="009622FC">
        <w:rPr>
          <w:rFonts w:ascii="Garamond" w:hAnsi="Garamond"/>
        </w:rPr>
        <w:t>ation and even uncountable social assistance and grants. Furthermore, many fund distributions of social assistancedo not reach their targets. More than 60 percent of social assistance and grant funds are given to those with no social risk.</w:t>
      </w:r>
      <w:r w:rsidRPr="009622FC">
        <w:rPr>
          <w:rStyle w:val="FootnoteReference"/>
          <w:rFonts w:ascii="Garamond" w:hAnsi="Garamond"/>
        </w:rPr>
        <w:footnoteReference w:id="48"/>
      </w:r>
    </w:p>
    <w:p w:rsidR="00B42460" w:rsidRPr="009622FC" w:rsidRDefault="00B42460" w:rsidP="00B42460">
      <w:pPr>
        <w:jc w:val="both"/>
        <w:rPr>
          <w:rFonts w:ascii="Garamond" w:hAnsi="Garamond"/>
        </w:rPr>
      </w:pPr>
    </w:p>
    <w:p w:rsidR="00B42460" w:rsidRPr="009622FC" w:rsidRDefault="00B42460" w:rsidP="00025378">
      <w:pPr>
        <w:jc w:val="center"/>
        <w:rPr>
          <w:rFonts w:ascii="Garamond" w:hAnsi="Garamond"/>
          <w:b/>
        </w:rPr>
      </w:pPr>
      <w:r w:rsidRPr="009622FC">
        <w:rPr>
          <w:rFonts w:ascii="Garamond" w:hAnsi="Garamond"/>
        </w:rPr>
        <w:br w:type="page"/>
      </w:r>
      <w:r w:rsidR="00273E5C" w:rsidRPr="009622FC">
        <w:rPr>
          <w:rFonts w:ascii="Garamond" w:hAnsi="Garamond"/>
          <w:b/>
        </w:rPr>
        <w:lastRenderedPageBreak/>
        <w:t>Graphic</w:t>
      </w:r>
      <w:r w:rsidR="00E67585" w:rsidRPr="009622FC">
        <w:rPr>
          <w:rFonts w:ascii="Garamond" w:hAnsi="Garamond"/>
          <w:b/>
        </w:rPr>
        <w:t xml:space="preserve"> 3.17 </w:t>
      </w:r>
      <w:r w:rsidRPr="009622FC">
        <w:rPr>
          <w:rFonts w:ascii="Garamond" w:hAnsi="Garamond"/>
          <w:b/>
        </w:rPr>
        <w:t>Composition of Provincial Spending</w:t>
      </w:r>
    </w:p>
    <w:p w:rsidR="00B42460" w:rsidRPr="009622FC" w:rsidRDefault="00805913" w:rsidP="00B42460">
      <w:pPr>
        <w:jc w:val="center"/>
        <w:rPr>
          <w:rFonts w:ascii="Garamond" w:hAnsi="Garamond"/>
          <w:b/>
          <w:lang w:val="en-US"/>
        </w:rPr>
      </w:pPr>
      <w:r w:rsidRPr="009622FC">
        <w:rPr>
          <w:rFonts w:ascii="Garamond" w:hAnsi="Garamond"/>
          <w:b/>
          <w:noProof/>
          <w:lang w:val="en-US" w:eastAsia="en-US" w:bidi="ar-SA"/>
        </w:rPr>
        <w:drawing>
          <wp:inline distT="0" distB="0" distL="0" distR="0">
            <wp:extent cx="5748227" cy="3101384"/>
            <wp:effectExtent l="25400" t="25400" r="17573" b="0"/>
            <wp:docPr id="20" name="C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42460" w:rsidRPr="009622FC" w:rsidRDefault="00565EF6" w:rsidP="00B42460">
      <w:pPr>
        <w:jc w:val="both"/>
        <w:rPr>
          <w:rFonts w:ascii="Garamond" w:hAnsi="Garamond"/>
          <w:b/>
          <w:u w:val="single"/>
          <w:lang w:val="en-US"/>
        </w:rPr>
      </w:pPr>
      <w:r w:rsidRPr="009622FC">
        <w:rPr>
          <w:rFonts w:ascii="Garamond" w:hAnsi="Garamond"/>
          <w:b/>
          <w:u w:val="single"/>
        </w:rPr>
        <w:t xml:space="preserve">3.4 </w:t>
      </w:r>
      <w:r w:rsidR="00B42460" w:rsidRPr="009622FC">
        <w:rPr>
          <w:rFonts w:ascii="Garamond" w:hAnsi="Garamond"/>
          <w:b/>
          <w:u w:val="single"/>
        </w:rPr>
        <w:t xml:space="preserve">Low </w:t>
      </w:r>
      <w:r w:rsidRPr="009622FC">
        <w:rPr>
          <w:rFonts w:ascii="Garamond" w:hAnsi="Garamond"/>
          <w:b/>
          <w:u w:val="single"/>
        </w:rPr>
        <w:t xml:space="preserve">Budget Commitment for </w:t>
      </w:r>
      <w:r w:rsidR="00B42460" w:rsidRPr="009622FC">
        <w:rPr>
          <w:rFonts w:ascii="Garamond" w:hAnsi="Garamond"/>
          <w:b/>
          <w:u w:val="single"/>
        </w:rPr>
        <w:t xml:space="preserve">Land and Forest Governance </w:t>
      </w:r>
    </w:p>
    <w:p w:rsidR="00B42460" w:rsidRPr="009622FC" w:rsidRDefault="00B42460" w:rsidP="00B42460">
      <w:pPr>
        <w:jc w:val="both"/>
        <w:rPr>
          <w:rFonts w:ascii="Garamond" w:hAnsi="Garamond"/>
        </w:rPr>
      </w:pPr>
      <w:r w:rsidRPr="009622FC">
        <w:rPr>
          <w:rFonts w:ascii="Garamond" w:hAnsi="Garamond"/>
          <w:b/>
        </w:rPr>
        <w:t>Expenditure on land and forest governance</w:t>
      </w:r>
      <w:r w:rsidRPr="009622FC">
        <w:rPr>
          <w:rFonts w:ascii="Garamond" w:hAnsi="Garamond"/>
          <w:b/>
          <w:vertAlign w:val="superscript"/>
        </w:rPr>
        <w:footnoteReference w:id="49"/>
      </w:r>
      <w:r w:rsidRPr="009622FC">
        <w:rPr>
          <w:rFonts w:ascii="Garamond" w:hAnsi="Garamond"/>
          <w:b/>
        </w:rPr>
        <w:t xml:space="preserve"> is highly limited. </w:t>
      </w:r>
      <w:r w:rsidRPr="009622FC">
        <w:rPr>
          <w:rFonts w:ascii="Garamond" w:hAnsi="Garamond"/>
        </w:rPr>
        <w:t>On average, the six research areas allocate</w:t>
      </w:r>
      <w:r w:rsidR="00565EF6" w:rsidRPr="009622FC">
        <w:rPr>
          <w:rFonts w:ascii="Garamond" w:hAnsi="Garamond"/>
        </w:rPr>
        <w:t>d</w:t>
      </w:r>
      <w:r w:rsidRPr="009622FC">
        <w:rPr>
          <w:rFonts w:ascii="Garamond" w:hAnsi="Garamond"/>
        </w:rPr>
        <w:t xml:space="preserve"> about 6.7 percent of their total expenditure on land and forest governance. There are several reasons for this minimum  budget expenditur</w:t>
      </w:r>
      <w:r w:rsidR="00565EF6" w:rsidRPr="009622FC">
        <w:rPr>
          <w:rFonts w:ascii="Garamond" w:hAnsi="Garamond"/>
        </w:rPr>
        <w:t>e on the land and forest sector</w:t>
      </w:r>
      <w:r w:rsidRPr="009622FC">
        <w:rPr>
          <w:rFonts w:ascii="Garamond" w:hAnsi="Garamond"/>
        </w:rPr>
        <w:t xml:space="preserve">. </w:t>
      </w:r>
      <w:r w:rsidRPr="009622FC">
        <w:rPr>
          <w:rFonts w:ascii="Garamond" w:hAnsi="Garamond"/>
          <w:b/>
          <w:i/>
        </w:rPr>
        <w:t>Firstly</w:t>
      </w:r>
      <w:r w:rsidRPr="009622FC">
        <w:rPr>
          <w:rFonts w:ascii="Garamond" w:hAnsi="Garamond"/>
          <w:b/>
        </w:rPr>
        <w:t>,</w:t>
      </w:r>
      <w:r w:rsidRPr="009622FC">
        <w:rPr>
          <w:rFonts w:ascii="Garamond" w:hAnsi="Garamond"/>
        </w:rPr>
        <w:t xml:space="preserve"> the land and forest sector affairs in this study are not the ones many regional governments deem as priority activities. There are two affairs classified into the mandatory affairs group</w:t>
      </w:r>
      <w:r w:rsidRPr="009622FC">
        <w:rPr>
          <w:rFonts w:ascii="Garamond" w:hAnsi="Garamond"/>
          <w:vertAlign w:val="superscript"/>
        </w:rPr>
        <w:footnoteReference w:id="50"/>
      </w:r>
      <w:r w:rsidRPr="009622FC">
        <w:rPr>
          <w:rFonts w:ascii="Garamond" w:hAnsi="Garamond"/>
        </w:rPr>
        <w:t>, namely spatial zoning and e</w:t>
      </w:r>
      <w:r w:rsidR="00565EF6" w:rsidRPr="009622FC">
        <w:rPr>
          <w:rFonts w:ascii="Garamond" w:hAnsi="Garamond"/>
        </w:rPr>
        <w:t xml:space="preserve">nvironmental affairs, and </w:t>
      </w:r>
      <w:r w:rsidRPr="009622FC">
        <w:rPr>
          <w:rFonts w:ascii="Garamond" w:hAnsi="Garamond"/>
        </w:rPr>
        <w:t>three others classified into optional affairs</w:t>
      </w:r>
      <w:r w:rsidRPr="009622FC">
        <w:rPr>
          <w:rFonts w:ascii="Garamond" w:hAnsi="Garamond"/>
          <w:vertAlign w:val="superscript"/>
        </w:rPr>
        <w:footnoteReference w:id="51"/>
      </w:r>
      <w:r w:rsidRPr="009622FC">
        <w:rPr>
          <w:rFonts w:ascii="Garamond" w:hAnsi="Garamond"/>
        </w:rPr>
        <w:t xml:space="preserve">, including agriculture, forestry, and energy and mineral resources. </w:t>
      </w:r>
      <w:r w:rsidRPr="009622FC">
        <w:rPr>
          <w:rFonts w:ascii="Garamond" w:hAnsi="Garamond"/>
          <w:b/>
          <w:i/>
        </w:rPr>
        <w:t>Secondly</w:t>
      </w:r>
      <w:r w:rsidRPr="009622FC">
        <w:rPr>
          <w:rFonts w:ascii="Garamond" w:hAnsi="Garamond"/>
        </w:rPr>
        <w:t xml:space="preserve">, land and forest sector affairs are not mandated by either the Constitution or laws, unlike education affairs which have been mandated to be allocated no less than 20 percent of the budget, and healthcare at 10 percent excluding employee salaries. </w:t>
      </w:r>
      <w:r w:rsidRPr="009622FC">
        <w:rPr>
          <w:rFonts w:ascii="Garamond" w:hAnsi="Garamond"/>
          <w:b/>
          <w:i/>
        </w:rPr>
        <w:t>Thirdly</w:t>
      </w:r>
      <w:r w:rsidRPr="009622FC">
        <w:rPr>
          <w:rFonts w:ascii="Garamond" w:hAnsi="Garamond"/>
        </w:rPr>
        <w:t xml:space="preserve">, the minimum budget is not followed by a maximum regional expenditure absorption from what has been targeted. </w:t>
      </w:r>
    </w:p>
    <w:p w:rsidR="00B42460" w:rsidRPr="009622FC" w:rsidRDefault="00B42460" w:rsidP="00B42460">
      <w:pPr>
        <w:jc w:val="both"/>
        <w:rPr>
          <w:rFonts w:ascii="Garamond" w:hAnsi="Garamond"/>
        </w:rPr>
      </w:pPr>
      <w:r w:rsidRPr="009622FC">
        <w:rPr>
          <w:rFonts w:ascii="Garamond" w:hAnsi="Garamond"/>
        </w:rPr>
        <w:br w:type="page"/>
      </w:r>
    </w:p>
    <w:p w:rsidR="00B42460" w:rsidRPr="009622FC" w:rsidRDefault="00273E5C" w:rsidP="00B42460">
      <w:pPr>
        <w:jc w:val="center"/>
        <w:rPr>
          <w:rFonts w:ascii="Garamond" w:hAnsi="Garamond"/>
          <w:b/>
        </w:rPr>
      </w:pPr>
      <w:r w:rsidRPr="009622FC">
        <w:rPr>
          <w:rFonts w:ascii="Garamond" w:hAnsi="Garamond"/>
          <w:b/>
        </w:rPr>
        <w:lastRenderedPageBreak/>
        <w:t>Graphic</w:t>
      </w:r>
      <w:r w:rsidR="00E67585" w:rsidRPr="009622FC">
        <w:rPr>
          <w:rFonts w:ascii="Garamond" w:hAnsi="Garamond"/>
          <w:b/>
        </w:rPr>
        <w:t xml:space="preserve"> 3.18 </w:t>
      </w:r>
      <w:r w:rsidR="00B42460" w:rsidRPr="009622FC">
        <w:rPr>
          <w:rFonts w:ascii="Garamond" w:hAnsi="Garamond"/>
          <w:b/>
        </w:rPr>
        <w:t>Spending Trends in</w:t>
      </w:r>
      <w:r w:rsidR="00EE1926" w:rsidRPr="009622FC">
        <w:rPr>
          <w:rFonts w:ascii="Garamond" w:hAnsi="Garamond"/>
          <w:b/>
        </w:rPr>
        <w:t xml:space="preserve"> the Land and Forest Sector by District</w:t>
      </w:r>
    </w:p>
    <w:p w:rsidR="00B42460" w:rsidRPr="009622FC" w:rsidRDefault="00805913" w:rsidP="007B4F3C">
      <w:pPr>
        <w:jc w:val="center"/>
        <w:rPr>
          <w:rFonts w:ascii="Garamond" w:hAnsi="Garamond"/>
          <w:b/>
          <w:noProof/>
          <w:lang w:val="en-US" w:eastAsia="en-US" w:bidi="ar-SA"/>
        </w:rPr>
      </w:pPr>
      <w:r w:rsidRPr="009622FC">
        <w:rPr>
          <w:rFonts w:ascii="Garamond" w:hAnsi="Garamond"/>
          <w:b/>
          <w:noProof/>
          <w:lang w:val="en-US" w:eastAsia="en-US" w:bidi="ar-SA"/>
        </w:rPr>
        <w:drawing>
          <wp:inline distT="0" distB="0" distL="0" distR="0">
            <wp:extent cx="5489575" cy="3724275"/>
            <wp:effectExtent l="19050" t="0" r="15875" b="0"/>
            <wp:docPr id="21" name="C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42460" w:rsidRPr="009622FC" w:rsidRDefault="00273E5C" w:rsidP="00B42460">
      <w:pPr>
        <w:jc w:val="center"/>
        <w:rPr>
          <w:rFonts w:ascii="Garamond" w:hAnsi="Garamond"/>
          <w:b/>
          <w:noProof/>
          <w:lang w:val="en-US" w:eastAsia="en-US" w:bidi="ar-SA"/>
        </w:rPr>
      </w:pPr>
      <w:r w:rsidRPr="009622FC">
        <w:rPr>
          <w:rFonts w:ascii="Garamond" w:hAnsi="Garamond"/>
          <w:b/>
          <w:noProof/>
          <w:lang w:val="en-US" w:eastAsia="en-US" w:bidi="ar-SA"/>
        </w:rPr>
        <w:t>Graphic</w:t>
      </w:r>
      <w:r w:rsidR="00E67585" w:rsidRPr="009622FC">
        <w:rPr>
          <w:rFonts w:ascii="Garamond" w:hAnsi="Garamond"/>
          <w:b/>
          <w:noProof/>
          <w:lang w:val="en-US" w:eastAsia="en-US" w:bidi="ar-SA"/>
        </w:rPr>
        <w:t xml:space="preserve"> 3.19 </w:t>
      </w:r>
      <w:r w:rsidR="00B42460" w:rsidRPr="009622FC">
        <w:rPr>
          <w:rFonts w:ascii="Garamond" w:hAnsi="Garamond"/>
          <w:b/>
          <w:noProof/>
          <w:lang w:val="en-US" w:eastAsia="en-US" w:bidi="ar-SA"/>
        </w:rPr>
        <w:t>Spending in the Land and Forest Sector</w:t>
      </w:r>
      <w:r w:rsidR="00EE1926" w:rsidRPr="009622FC">
        <w:rPr>
          <w:rFonts w:ascii="Garamond" w:hAnsi="Garamond"/>
          <w:b/>
          <w:noProof/>
          <w:lang w:val="en-US" w:eastAsia="en-US" w:bidi="ar-SA"/>
        </w:rPr>
        <w:t xml:space="preserve"> by Province</w:t>
      </w:r>
    </w:p>
    <w:p w:rsidR="00B42460" w:rsidRPr="009622FC" w:rsidRDefault="001A6C0B" w:rsidP="00B42460">
      <w:pPr>
        <w:jc w:val="center"/>
        <w:rPr>
          <w:rFonts w:ascii="Garamond" w:hAnsi="Garamond"/>
          <w:b/>
          <w:lang w:val="en-US"/>
        </w:rPr>
      </w:pPr>
      <w:r w:rsidRPr="009622FC">
        <w:rPr>
          <w:rFonts w:ascii="Garamond" w:hAnsi="Garamond"/>
          <w:b/>
          <w:noProof/>
          <w:lang w:val="en-US" w:eastAsia="en-US" w:bidi="ar-SA"/>
        </w:rPr>
        <w:drawing>
          <wp:inline distT="0" distB="0" distL="0" distR="0">
            <wp:extent cx="5483225" cy="2888615"/>
            <wp:effectExtent l="19050" t="0" r="22225" b="6985"/>
            <wp:docPr id="35"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4E2D" w:rsidRPr="007B4F3C" w:rsidRDefault="00B42460" w:rsidP="00B42460">
      <w:pPr>
        <w:jc w:val="both"/>
        <w:rPr>
          <w:rFonts w:ascii="Garamond" w:hAnsi="Garamond"/>
          <w:lang w:val="en-US"/>
        </w:rPr>
      </w:pPr>
      <w:r w:rsidRPr="009622FC">
        <w:rPr>
          <w:rFonts w:ascii="Garamond" w:hAnsi="Garamond"/>
          <w:b/>
        </w:rPr>
        <w:t>At the provincial level, half of the expenditure on land and forest governance is allocated as social assistance and grants.</w:t>
      </w:r>
      <w:r w:rsidRPr="009622FC">
        <w:rPr>
          <w:rFonts w:ascii="Garamond" w:hAnsi="Garamond"/>
        </w:rPr>
        <w:t xml:space="preserve"> The average spending allocation for land and forest governance at the provincial level is lower than that at the district level, that is, 5.1 percent of the total regional expenditure. This average is far lower than that on social assistance and grants, which is at 10.2 percent. On average, in 2009-2012 the proportion of land and forest governance spending in the province of South Sumatra was just 3.8 percent. Meanwhile, the province of East Kalimantan allocated a higher amount, at 4.2 percent, and West Kalimantan province dedicated one of the highest allocations, at 7.2 percent. The high allocation in West Kalimantan compared to the other two provinces is because of the presence of priority programs </w:t>
      </w:r>
      <w:r w:rsidRPr="009622FC">
        <w:rPr>
          <w:rFonts w:ascii="Garamond" w:hAnsi="Garamond"/>
        </w:rPr>
        <w:lastRenderedPageBreak/>
        <w:t>to improve food crop production, productivity and quality in order to achieve self-</w:t>
      </w:r>
      <w:r w:rsidR="003E6557">
        <w:rPr>
          <w:rFonts w:ascii="Garamond" w:hAnsi="Garamond"/>
        </w:rPr>
        <w:t>sufficiency through the stabili</w:t>
      </w:r>
      <w:r w:rsidR="003E6557">
        <w:rPr>
          <w:rFonts w:ascii="Garamond" w:hAnsi="Garamond"/>
          <w:lang w:val="en-US"/>
        </w:rPr>
        <w:t>s</w:t>
      </w:r>
      <w:r w:rsidRPr="009622FC">
        <w:rPr>
          <w:rFonts w:ascii="Garamond" w:hAnsi="Garamond"/>
        </w:rPr>
        <w:t>ation of rice centers (food estates).</w:t>
      </w:r>
    </w:p>
    <w:p w:rsidR="00B42460" w:rsidRPr="009622FC" w:rsidRDefault="00B42460" w:rsidP="00B42460">
      <w:pPr>
        <w:jc w:val="both"/>
        <w:rPr>
          <w:rFonts w:ascii="Garamond" w:hAnsi="Garamond"/>
          <w:lang w:val="en-US"/>
        </w:rPr>
      </w:pPr>
      <w:r w:rsidRPr="009622FC">
        <w:rPr>
          <w:rFonts w:ascii="Garamond" w:hAnsi="Garamond"/>
          <w:b/>
        </w:rPr>
        <w:t>Despite the absence of a benchmark, particularly one specifying the best proportion for the allocation of land and forest governance spending</w:t>
      </w:r>
      <w:r w:rsidRPr="009622FC">
        <w:rPr>
          <w:rFonts w:ascii="Garamond" w:hAnsi="Garamond"/>
        </w:rPr>
        <w:t xml:space="preserve">, the reality indicates that the expenditure allocation provided by the regional government is incomparable with the government’s efforts  to make the land and forest sector a source of regional revenue. In the RPJMD document of each province and district, it is clearly illustrated how the land and forest sector constitutes an important part of regional development goals. In another case, the expenditure allocation provided seems to be incapable of responding to the existing challenges of land and forest damage. The progress of critical land rehabilitation programs in many regions has been unsatisfactory. </w:t>
      </w:r>
    </w:p>
    <w:p w:rsidR="00B42460" w:rsidRPr="009622FC" w:rsidRDefault="00B42460" w:rsidP="00B42460">
      <w:pPr>
        <w:pStyle w:val="ListParagraph"/>
        <w:numPr>
          <w:ilvl w:val="0"/>
          <w:numId w:val="35"/>
        </w:numPr>
        <w:jc w:val="both"/>
        <w:rPr>
          <w:rFonts w:ascii="Garamond" w:hAnsi="Garamond"/>
          <w:b/>
          <w:lang w:val="en-US"/>
        </w:rPr>
      </w:pPr>
      <w:r w:rsidRPr="009622FC">
        <w:rPr>
          <w:rFonts w:ascii="Garamond" w:hAnsi="Garamond"/>
          <w:b/>
        </w:rPr>
        <w:t>Forestry Affairs Spending</w:t>
      </w:r>
    </w:p>
    <w:p w:rsidR="00B42460" w:rsidRPr="009622FC" w:rsidRDefault="00B42460" w:rsidP="00B42460">
      <w:pPr>
        <w:jc w:val="both"/>
        <w:rPr>
          <w:rFonts w:ascii="Garamond" w:hAnsi="Garamond"/>
        </w:rPr>
      </w:pPr>
      <w:r w:rsidRPr="009622FC">
        <w:rPr>
          <w:rFonts w:ascii="Garamond" w:hAnsi="Garamond"/>
          <w:b/>
        </w:rPr>
        <w:t>Forestry affairs spending is allocated only 1 percent of the total regional expenditure, at a less than optimal level of budget absorption</w:t>
      </w:r>
      <w:r w:rsidRPr="009622FC">
        <w:rPr>
          <w:rFonts w:ascii="Garamond" w:hAnsi="Garamond"/>
        </w:rPr>
        <w:t>. In general, regional spending on forestry affairs in the 2009-2012 for the six research areas was allocated an average of only 1.2 percent of the total regional expenditure. A challenge that forestry affairs has to encounter, in addition to the minimum budget allocation, is the expenditure absorption being lower than the target. In the districts of Musi Banyuasin and Musi Rawas, the allocation provided is not more than 1 percent of the total regional expenditure. However, such an allocation cannot be absorbed maximally by either of the two regions, meaning that only 83.2 percent of the allocation can be absorbed. The lowest budget absorption level occurs in Berau district. Within the 2009-2011 period, the average forestry budget absorption is only 12.4 percent of the planned target.</w:t>
      </w:r>
    </w:p>
    <w:p w:rsidR="00B42460" w:rsidRPr="009622FC" w:rsidRDefault="00273E5C" w:rsidP="00B42460">
      <w:pPr>
        <w:jc w:val="center"/>
        <w:rPr>
          <w:rFonts w:ascii="Garamond" w:hAnsi="Garamond"/>
          <w:b/>
          <w:bCs/>
          <w:noProof/>
        </w:rPr>
      </w:pPr>
      <w:r w:rsidRPr="009622FC">
        <w:rPr>
          <w:rFonts w:ascii="Garamond" w:hAnsi="Garamond"/>
          <w:b/>
        </w:rPr>
        <w:t>Graphic</w:t>
      </w:r>
      <w:r w:rsidR="00E67585" w:rsidRPr="009622FC">
        <w:rPr>
          <w:rFonts w:ascii="Garamond" w:hAnsi="Garamond"/>
          <w:b/>
        </w:rPr>
        <w:t xml:space="preserve"> 3.20 </w:t>
      </w:r>
      <w:r w:rsidR="00B42460" w:rsidRPr="009622FC">
        <w:rPr>
          <w:rFonts w:ascii="Garamond" w:hAnsi="Garamond"/>
          <w:b/>
        </w:rPr>
        <w:t>Forestry Spending Trends by District, 2009-2012</w:t>
      </w:r>
    </w:p>
    <w:p w:rsidR="00B42460" w:rsidRPr="009622FC" w:rsidRDefault="00805913" w:rsidP="00B42460">
      <w:pPr>
        <w:tabs>
          <w:tab w:val="left" w:pos="2535"/>
        </w:tabs>
        <w:jc w:val="both"/>
        <w:rPr>
          <w:rFonts w:ascii="Garamond" w:hAnsi="Garamond"/>
          <w:b/>
        </w:rPr>
      </w:pPr>
      <w:r w:rsidRPr="009622FC">
        <w:rPr>
          <w:rFonts w:ascii="Garamond" w:hAnsi="Garamond"/>
          <w:b/>
          <w:noProof/>
          <w:lang w:val="en-US" w:eastAsia="en-US" w:bidi="ar-SA"/>
        </w:rPr>
        <w:drawing>
          <wp:inline distT="0" distB="0" distL="0" distR="0">
            <wp:extent cx="5489067" cy="2790444"/>
            <wp:effectExtent l="25400" t="25400" r="22733" b="3556"/>
            <wp:docPr id="23" name="C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42460" w:rsidRPr="009622FC" w:rsidRDefault="00B42460" w:rsidP="00B42460">
      <w:pPr>
        <w:jc w:val="both"/>
        <w:rPr>
          <w:rFonts w:ascii="Garamond" w:hAnsi="Garamond"/>
          <w:bCs/>
          <w:noProof/>
          <w:color w:val="000000"/>
        </w:rPr>
      </w:pPr>
      <w:r w:rsidRPr="009622FC">
        <w:rPr>
          <w:rFonts w:ascii="Garamond" w:hAnsi="Garamond"/>
          <w:bCs/>
        </w:rPr>
        <w:t xml:space="preserve">This low absorption of the forestry budget in Berau district is due to, among other things, the unimplemented land and forest rehabilitation program of the DBH-DR scheme, the budget for which is quite high. In the 2013 RKPD from </w:t>
      </w:r>
      <w:r w:rsidRPr="009622FC">
        <w:rPr>
          <w:rFonts w:ascii="Garamond" w:hAnsi="Garamond"/>
        </w:rPr>
        <w:t xml:space="preserve">Berau district, the regional government mentions several obstacles it has encountered in implementing the land and forest rehabilitation program coming from the forestation fund. These are </w:t>
      </w:r>
      <w:r w:rsidRPr="009622FC">
        <w:rPr>
          <w:rFonts w:ascii="Garamond" w:hAnsi="Garamond"/>
          <w:b/>
          <w:bCs/>
          <w:i/>
          <w:noProof/>
          <w:vertAlign w:val="superscript"/>
        </w:rPr>
        <w:footnoteReference w:id="52"/>
      </w:r>
      <w:r w:rsidRPr="009622FC">
        <w:rPr>
          <w:rFonts w:ascii="Garamond" w:hAnsi="Garamond"/>
          <w:bCs/>
        </w:rPr>
        <w:t>:</w:t>
      </w:r>
      <w:r w:rsidRPr="009622FC">
        <w:rPr>
          <w:rFonts w:ascii="Garamond" w:hAnsi="Garamond"/>
          <w:b/>
          <w:bCs/>
          <w:i/>
        </w:rPr>
        <w:t xml:space="preserve"> </w:t>
      </w:r>
      <w:r w:rsidRPr="009622FC">
        <w:rPr>
          <w:rFonts w:ascii="Garamond" w:hAnsi="Garamond"/>
          <w:b/>
          <w:bCs/>
          <w:i/>
          <w:color w:val="000000"/>
        </w:rPr>
        <w:t>Firstly</w:t>
      </w:r>
      <w:r w:rsidRPr="009622FC">
        <w:rPr>
          <w:rFonts w:ascii="Garamond" w:hAnsi="Garamond"/>
        </w:rPr>
        <w:t xml:space="preserve">, the unclear Regional Spatial Zoning (RTRW) issues, for which no updated Forestry Minister’s Decree has been issued, meaning that the reference is still the outdated SK.79/Menhut-II/2001. </w:t>
      </w:r>
      <w:r w:rsidRPr="009622FC">
        <w:rPr>
          <w:rFonts w:ascii="Garamond" w:hAnsi="Garamond"/>
          <w:b/>
          <w:bCs/>
          <w:i/>
          <w:color w:val="000000"/>
        </w:rPr>
        <w:t>Secondly</w:t>
      </w:r>
      <w:r w:rsidRPr="009622FC">
        <w:rPr>
          <w:rFonts w:ascii="Garamond" w:hAnsi="Garamond"/>
          <w:bCs/>
          <w:color w:val="000000"/>
        </w:rPr>
        <w:t xml:space="preserve">, difficulties in locating critical forest areas, which under Forestry </w:t>
      </w:r>
      <w:r w:rsidRPr="009622FC">
        <w:rPr>
          <w:rFonts w:ascii="Garamond" w:hAnsi="Garamond"/>
          <w:bCs/>
          <w:color w:val="000000"/>
        </w:rPr>
        <w:lastRenderedPageBreak/>
        <w:t>Minister’s Regulation No</w:t>
      </w:r>
      <w:r w:rsidR="00BB2578" w:rsidRPr="009622FC">
        <w:rPr>
          <w:rFonts w:ascii="Garamond" w:hAnsi="Garamond"/>
          <w:bCs/>
          <w:color w:val="000000"/>
        </w:rPr>
        <w:t xml:space="preserve">. 14/Menhut-V/2008 </w:t>
      </w:r>
      <w:r w:rsidRPr="009622FC">
        <w:rPr>
          <w:rFonts w:ascii="Garamond" w:hAnsi="Garamond"/>
          <w:bCs/>
          <w:color w:val="000000"/>
        </w:rPr>
        <w:t xml:space="preserve">is required so that the proportion of forestry natural resources </w:t>
      </w:r>
      <w:r w:rsidR="00BB2578" w:rsidRPr="009622FC">
        <w:rPr>
          <w:rFonts w:ascii="Garamond" w:hAnsi="Garamond"/>
          <w:bCs/>
          <w:color w:val="000000"/>
        </w:rPr>
        <w:t xml:space="preserve">in the </w:t>
      </w:r>
      <w:r w:rsidR="003E6557">
        <w:rPr>
          <w:rFonts w:ascii="Garamond" w:hAnsi="Garamond"/>
          <w:bCs/>
          <w:color w:val="000000"/>
        </w:rPr>
        <w:t>Profit-Sharing Fund utili</w:t>
      </w:r>
      <w:r w:rsidR="003E6557">
        <w:rPr>
          <w:rFonts w:ascii="Garamond" w:hAnsi="Garamond"/>
          <w:bCs/>
          <w:color w:val="000000"/>
          <w:lang w:val="en-US"/>
        </w:rPr>
        <w:t>s</w:t>
      </w:r>
      <w:r w:rsidRPr="009622FC">
        <w:rPr>
          <w:rFonts w:ascii="Garamond" w:hAnsi="Garamond"/>
          <w:bCs/>
          <w:color w:val="000000"/>
        </w:rPr>
        <w:t>ation of Forestation Fund (40 percent) is governed as follows:</w:t>
      </w:r>
    </w:p>
    <w:p w:rsidR="00B42460" w:rsidRPr="009622FC" w:rsidRDefault="00B42460" w:rsidP="00B42460">
      <w:pPr>
        <w:numPr>
          <w:ilvl w:val="0"/>
          <w:numId w:val="20"/>
        </w:numPr>
        <w:contextualSpacing/>
        <w:jc w:val="both"/>
        <w:rPr>
          <w:rFonts w:ascii="Garamond" w:hAnsi="Garamond"/>
          <w:bCs/>
          <w:noProof/>
          <w:color w:val="000000"/>
        </w:rPr>
      </w:pPr>
      <w:r w:rsidRPr="009622FC">
        <w:rPr>
          <w:rFonts w:ascii="Garamond" w:hAnsi="Garamond"/>
          <w:bCs/>
          <w:color w:val="000000"/>
        </w:rPr>
        <w:t xml:space="preserve">A minimum of 60 percent of the total budget amount of the relevant year must be used for Land and Forest Rehabilitation (RHL) activities within forest areas; </w:t>
      </w:r>
    </w:p>
    <w:p w:rsidR="00B42460" w:rsidRPr="009622FC" w:rsidRDefault="00B42460" w:rsidP="00B42460">
      <w:pPr>
        <w:numPr>
          <w:ilvl w:val="0"/>
          <w:numId w:val="20"/>
        </w:numPr>
        <w:contextualSpacing/>
        <w:jc w:val="both"/>
        <w:rPr>
          <w:rFonts w:ascii="Garamond" w:hAnsi="Garamond"/>
          <w:bCs/>
          <w:noProof/>
          <w:color w:val="000000"/>
        </w:rPr>
      </w:pPr>
      <w:r w:rsidRPr="009622FC">
        <w:rPr>
          <w:rFonts w:ascii="Garamond" w:hAnsi="Garamond"/>
          <w:bCs/>
          <w:color w:val="000000"/>
        </w:rPr>
        <w:t>A maximum of 40 percent of the total budget amount in the relevant year must be used for RHL activities outside of forest areas;</w:t>
      </w:r>
    </w:p>
    <w:p w:rsidR="00B42460" w:rsidRPr="009622FC" w:rsidRDefault="00B42460" w:rsidP="00B42460">
      <w:pPr>
        <w:numPr>
          <w:ilvl w:val="0"/>
          <w:numId w:val="20"/>
        </w:numPr>
        <w:contextualSpacing/>
        <w:jc w:val="both"/>
        <w:rPr>
          <w:rFonts w:ascii="Garamond" w:hAnsi="Garamond"/>
          <w:bCs/>
          <w:noProof/>
          <w:color w:val="000000"/>
        </w:rPr>
      </w:pPr>
      <w:r w:rsidRPr="009622FC">
        <w:rPr>
          <w:rFonts w:ascii="Garamond" w:hAnsi="Garamond"/>
          <w:bCs/>
          <w:color w:val="000000"/>
        </w:rPr>
        <w:t>The price standards of 2004, which serve as a reference, is not consistent with the current price standard (2009).</w:t>
      </w:r>
    </w:p>
    <w:p w:rsidR="00B42460" w:rsidRPr="009622FC" w:rsidRDefault="00B42460" w:rsidP="00B42460">
      <w:pPr>
        <w:contextualSpacing/>
        <w:jc w:val="both"/>
        <w:rPr>
          <w:rFonts w:ascii="Garamond" w:hAnsi="Garamond"/>
          <w:bCs/>
          <w:noProof/>
          <w:color w:val="000000"/>
        </w:rPr>
      </w:pPr>
    </w:p>
    <w:p w:rsidR="00B42460" w:rsidRPr="009622FC" w:rsidRDefault="00B42460" w:rsidP="00B42460">
      <w:pPr>
        <w:jc w:val="both"/>
        <w:rPr>
          <w:rFonts w:ascii="Garamond" w:hAnsi="Garamond"/>
          <w:bCs/>
          <w:noProof/>
          <w:lang w:val="en-US"/>
        </w:rPr>
      </w:pPr>
      <w:r w:rsidRPr="009622FC">
        <w:rPr>
          <w:rFonts w:ascii="Garamond" w:hAnsi="Garamond"/>
          <w:bCs/>
        </w:rPr>
        <w:t>The obstacles above have meant that reforestation funds intended for land and forest rehabilitation program have not been implemented and the unabsorbed and “precipitated” DBH-DR has made the Overal Budget Surplus (SiLPA) higher.</w:t>
      </w:r>
      <w:r w:rsidRPr="009622FC">
        <w:rPr>
          <w:rStyle w:val="FootnoteReference"/>
          <w:rFonts w:ascii="Garamond" w:hAnsi="Garamond"/>
          <w:bCs/>
          <w:noProof/>
        </w:rPr>
        <w:footnoteReference w:id="53"/>
      </w:r>
      <w:r w:rsidRPr="009622FC">
        <w:rPr>
          <w:rFonts w:ascii="Garamond" w:hAnsi="Garamond"/>
          <w:bCs/>
        </w:rPr>
        <w:t xml:space="preserve"> The district government of Berau allocated an average expenditure for forestry affairs during</w:t>
      </w:r>
      <w:r w:rsidR="00BB2578" w:rsidRPr="009622FC">
        <w:rPr>
          <w:rFonts w:ascii="Garamond" w:hAnsi="Garamond"/>
          <w:bCs/>
        </w:rPr>
        <w:t xml:space="preserve"> 2009-2012 of 4 percent of its</w:t>
      </w:r>
      <w:r w:rsidRPr="009622FC">
        <w:rPr>
          <w:rFonts w:ascii="Garamond" w:hAnsi="Garamond"/>
          <w:bCs/>
        </w:rPr>
        <w:t xml:space="preserve"> total budget (under APB</w:t>
      </w:r>
      <w:r w:rsidR="003E6557">
        <w:rPr>
          <w:rFonts w:ascii="Garamond" w:hAnsi="Garamond"/>
          <w:bCs/>
        </w:rPr>
        <w:t>D), yet reali</w:t>
      </w:r>
      <w:r w:rsidR="003E6557">
        <w:rPr>
          <w:rFonts w:ascii="Garamond" w:hAnsi="Garamond"/>
          <w:bCs/>
          <w:lang w:val="en-US"/>
        </w:rPr>
        <w:t>s</w:t>
      </w:r>
      <w:r w:rsidRPr="009622FC">
        <w:rPr>
          <w:rFonts w:ascii="Garamond" w:hAnsi="Garamond"/>
          <w:bCs/>
        </w:rPr>
        <w:t>ed only 1.8 percent. In 2010, it allo</w:t>
      </w:r>
      <w:r w:rsidR="003E6557">
        <w:rPr>
          <w:rFonts w:ascii="Garamond" w:hAnsi="Garamond"/>
          <w:bCs/>
        </w:rPr>
        <w:t>cated Rp52.5 billion, but reali</w:t>
      </w:r>
      <w:r w:rsidR="003E6557">
        <w:rPr>
          <w:rFonts w:ascii="Garamond" w:hAnsi="Garamond"/>
          <w:bCs/>
          <w:lang w:val="en-US"/>
        </w:rPr>
        <w:t>s</w:t>
      </w:r>
      <w:r w:rsidRPr="009622FC">
        <w:rPr>
          <w:rFonts w:ascii="Garamond" w:hAnsi="Garamond"/>
          <w:bCs/>
        </w:rPr>
        <w:t>ed only Rp6.9 billion, or absorbed only 13.2 percent. In 2011, the APBD-Amendment added another allocation of forestry spending to reach Rp82.1 billion, but only Rp6.9 billion, or 12.9 percent of it was used and absorbed. In the draft of the 2012 APBD, the land and forest sector spending had increased</w:t>
      </w:r>
      <w:r w:rsidR="003E6557">
        <w:rPr>
          <w:rFonts w:ascii="Garamond" w:hAnsi="Garamond"/>
          <w:bCs/>
        </w:rPr>
        <w:t xml:space="preserve"> 13 times compared to the reali</w:t>
      </w:r>
      <w:r w:rsidR="003E6557">
        <w:rPr>
          <w:rFonts w:ascii="Garamond" w:hAnsi="Garamond"/>
          <w:bCs/>
          <w:lang w:val="en-US"/>
        </w:rPr>
        <w:t>s</w:t>
      </w:r>
      <w:r w:rsidRPr="009622FC">
        <w:rPr>
          <w:rFonts w:ascii="Garamond" w:hAnsi="Garamond"/>
          <w:bCs/>
        </w:rPr>
        <w:t>ation of the previous year, making up 5.5 percent of the total regional expenditure. The budget allocation for forestry affairs increased significantly and abruptly, from just 0.5 to 5.5 percent.</w:t>
      </w:r>
    </w:p>
    <w:p w:rsidR="00B42460" w:rsidRPr="009622FC" w:rsidRDefault="00BB2578" w:rsidP="00B42460">
      <w:pPr>
        <w:jc w:val="both"/>
        <w:rPr>
          <w:rFonts w:ascii="Garamond" w:hAnsi="Garamond"/>
          <w:bCs/>
        </w:rPr>
      </w:pPr>
      <w:r w:rsidRPr="009622FC">
        <w:rPr>
          <w:rFonts w:ascii="Garamond" w:hAnsi="Garamond"/>
          <w:b/>
          <w:noProof/>
        </w:rPr>
        <w:t>Spending on f</w:t>
      </w:r>
      <w:r w:rsidR="00B42460" w:rsidRPr="009622FC">
        <w:rPr>
          <w:rFonts w:ascii="Garamond" w:hAnsi="Garamond"/>
          <w:b/>
          <w:noProof/>
        </w:rPr>
        <w:t>orestry</w:t>
      </w:r>
      <w:r w:rsidR="00B42460" w:rsidRPr="009622FC">
        <w:rPr>
          <w:rFonts w:ascii="Garamond" w:hAnsi="Garamond"/>
          <w:b/>
          <w:bCs/>
        </w:rPr>
        <w:t xml:space="preserve"> affa</w:t>
      </w:r>
      <w:r w:rsidRPr="009622FC">
        <w:rPr>
          <w:rFonts w:ascii="Garamond" w:hAnsi="Garamond"/>
          <w:b/>
          <w:bCs/>
        </w:rPr>
        <w:t>irs at the provincial level has</w:t>
      </w:r>
      <w:r w:rsidR="00B42460" w:rsidRPr="009622FC">
        <w:rPr>
          <w:rFonts w:ascii="Garamond" w:hAnsi="Garamond"/>
          <w:b/>
          <w:bCs/>
        </w:rPr>
        <w:t xml:space="preserve"> tended to decrease</w:t>
      </w:r>
      <w:r w:rsidR="00B42460" w:rsidRPr="009622FC">
        <w:rPr>
          <w:rFonts w:ascii="Garamond" w:hAnsi="Garamond"/>
          <w:bCs/>
        </w:rPr>
        <w:t xml:space="preserve">. For example, in East Kalimantan, the allocated forestry expenditure continued to decline from 2010 through 2012, from 1.4 to 0.8 percent. The same experience was found in West Kalimantan. The expenditure allocation declined from 1.2 percent in 2010 to 0.8 percent in 2012. In South Sumatra, it decreased by 0.3 percent during the period 2009-2012, from 0.8 to 0.5 percent. </w:t>
      </w:r>
    </w:p>
    <w:p w:rsidR="00B42460" w:rsidRPr="009622FC" w:rsidRDefault="00273E5C" w:rsidP="00B42460">
      <w:pPr>
        <w:jc w:val="center"/>
        <w:rPr>
          <w:rFonts w:ascii="Garamond" w:hAnsi="Garamond"/>
          <w:b/>
          <w:bCs/>
        </w:rPr>
      </w:pPr>
      <w:r w:rsidRPr="009622FC">
        <w:rPr>
          <w:rFonts w:ascii="Garamond" w:hAnsi="Garamond"/>
          <w:b/>
          <w:bCs/>
        </w:rPr>
        <w:t>Graphic</w:t>
      </w:r>
      <w:r w:rsidR="00E67585" w:rsidRPr="009622FC">
        <w:rPr>
          <w:rFonts w:ascii="Garamond" w:hAnsi="Garamond"/>
          <w:b/>
          <w:bCs/>
        </w:rPr>
        <w:t xml:space="preserve"> 3.21 </w:t>
      </w:r>
      <w:r w:rsidR="00B42460" w:rsidRPr="009622FC">
        <w:rPr>
          <w:rFonts w:ascii="Garamond" w:hAnsi="Garamond"/>
          <w:b/>
          <w:bCs/>
        </w:rPr>
        <w:t>Proportion of Regional Spending Allocated for Forestry Affairs</w:t>
      </w:r>
    </w:p>
    <w:p w:rsidR="00B42460" w:rsidRPr="009622FC" w:rsidRDefault="00805913" w:rsidP="00B42460">
      <w:pPr>
        <w:jc w:val="center"/>
        <w:rPr>
          <w:rFonts w:ascii="Garamond" w:hAnsi="Garamond"/>
          <w:bCs/>
          <w:noProof/>
          <w:lang w:val="en-US"/>
        </w:rPr>
      </w:pPr>
      <w:r w:rsidRPr="009622FC">
        <w:rPr>
          <w:rFonts w:ascii="Garamond" w:hAnsi="Garamond"/>
          <w:noProof/>
          <w:lang w:val="en-US" w:eastAsia="en-US" w:bidi="ar-SA"/>
        </w:rPr>
        <w:drawing>
          <wp:inline distT="0" distB="0" distL="0" distR="0">
            <wp:extent cx="4620107" cy="2268213"/>
            <wp:effectExtent l="10262" t="4727" r="5131" b="2265"/>
            <wp:docPr id="24" name="C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42460" w:rsidRPr="009622FC" w:rsidRDefault="00B42460" w:rsidP="00B42460">
      <w:pPr>
        <w:jc w:val="both"/>
        <w:rPr>
          <w:rFonts w:ascii="Garamond" w:hAnsi="Garamond"/>
          <w:bCs/>
          <w:noProof/>
        </w:rPr>
      </w:pPr>
      <w:r w:rsidRPr="009622FC">
        <w:rPr>
          <w:rFonts w:ascii="Garamond" w:hAnsi="Garamond"/>
          <w:b/>
          <w:bCs/>
        </w:rPr>
        <w:t xml:space="preserve">The unit cost expenditure for forestry affairs is around Rp5,000 per hectare per year, equal to the average individual’s daily cigarette consumption in Indonesia. </w:t>
      </w:r>
      <w:r w:rsidRPr="009622FC">
        <w:rPr>
          <w:rFonts w:ascii="Garamond" w:hAnsi="Garamond"/>
          <w:bCs/>
        </w:rPr>
        <w:t xml:space="preserve">The size of forest areas in East Kalimantan under Forestry Minister’s Decree No. 79/Kpts-II/2001 is 14,651,553 Ha, or approximately 74 percent of the province’s total area. If a comparison is made between the budget forestry allocation and the forest area, then East Kalimantan on average from 2009-2011 allocated only Rp 5,290/hectare/year. Meanwhile, the average forestry affairs expenditure of South Sumatra is even lower, at Rp 4,345/hectare/year, and West Kalimantan at only Rp 1,758/hectare/year. This condition is ironic when </w:t>
      </w:r>
      <w:r w:rsidRPr="009622FC">
        <w:rPr>
          <w:rFonts w:ascii="Garamond" w:hAnsi="Garamond"/>
          <w:bCs/>
        </w:rPr>
        <w:lastRenderedPageBreak/>
        <w:t>compared to the average cigarette consumption costs per individual in Indonesia, which reaches Rp5,000 per day, or around Rp150,000 per month.</w:t>
      </w:r>
      <w:r w:rsidRPr="009622FC">
        <w:rPr>
          <w:rStyle w:val="FootnoteReference"/>
          <w:rFonts w:ascii="Garamond" w:hAnsi="Garamond"/>
          <w:bCs/>
          <w:noProof/>
        </w:rPr>
        <w:footnoteReference w:id="54"/>
      </w:r>
      <w:r w:rsidRPr="009622FC">
        <w:rPr>
          <w:rFonts w:ascii="Garamond" w:hAnsi="Garamond"/>
          <w:bCs/>
        </w:rPr>
        <w:t xml:space="preserve"> Such a meagre allocation means that the monitoring of land and forest governance in Indonesia is highly unfeasible. With nearly no monitoring (from the budget allocation perspective), deforestation through either illegal or legal logging will remain unchecked. </w:t>
      </w:r>
    </w:p>
    <w:p w:rsidR="00B42460" w:rsidRPr="009622FC" w:rsidRDefault="004E2EE7" w:rsidP="00B42460">
      <w:pPr>
        <w:spacing w:after="0"/>
        <w:jc w:val="center"/>
        <w:rPr>
          <w:rFonts w:ascii="Garamond" w:hAnsi="Garamond"/>
          <w:b/>
        </w:rPr>
      </w:pPr>
      <w:r w:rsidRPr="009622FC">
        <w:rPr>
          <w:rFonts w:ascii="Garamond" w:hAnsi="Garamond"/>
          <w:b/>
        </w:rPr>
        <w:t>Table</w:t>
      </w:r>
      <w:r w:rsidR="00B42460" w:rsidRPr="009622FC">
        <w:rPr>
          <w:rFonts w:ascii="Garamond" w:hAnsi="Garamond"/>
          <w:b/>
        </w:rPr>
        <w:t xml:space="preserve"> 3.3 Expenditure for Land and Forest Affairs per Hectare</w:t>
      </w:r>
    </w:p>
    <w:tbl>
      <w:tblPr>
        <w:tblW w:w="9815" w:type="dxa"/>
        <w:jc w:val="center"/>
        <w:tblLook w:val="04A0"/>
      </w:tblPr>
      <w:tblGrid>
        <w:gridCol w:w="2169"/>
        <w:gridCol w:w="1170"/>
        <w:gridCol w:w="1080"/>
        <w:gridCol w:w="1080"/>
        <w:gridCol w:w="1346"/>
        <w:gridCol w:w="990"/>
        <w:gridCol w:w="350"/>
        <w:gridCol w:w="640"/>
        <w:gridCol w:w="350"/>
        <w:gridCol w:w="640"/>
      </w:tblGrid>
      <w:tr w:rsidR="00B42460" w:rsidRPr="009622FC">
        <w:trPr>
          <w:trHeight w:val="300"/>
          <w:jc w:val="center"/>
        </w:trPr>
        <w:tc>
          <w:tcPr>
            <w:tcW w:w="2169" w:type="dxa"/>
            <w:vMerge w:val="restart"/>
            <w:tcBorders>
              <w:top w:val="single" w:sz="8" w:space="0" w:color="auto"/>
              <w:left w:val="nil"/>
              <w:bottom w:val="single" w:sz="8" w:space="0" w:color="000000"/>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Province</w:t>
            </w:r>
          </w:p>
        </w:tc>
        <w:tc>
          <w:tcPr>
            <w:tcW w:w="3330" w:type="dxa"/>
            <w:gridSpan w:val="3"/>
            <w:tcBorders>
              <w:top w:val="single" w:sz="8" w:space="0" w:color="auto"/>
              <w:left w:val="nil"/>
              <w:bottom w:val="single" w:sz="4" w:space="0" w:color="auto"/>
              <w:right w:val="nil"/>
            </w:tcBorders>
            <w:shd w:val="clear" w:color="auto" w:fill="auto"/>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Forestry Affairs Expenditure (in millions of Rupiah)</w:t>
            </w:r>
          </w:p>
        </w:tc>
        <w:tc>
          <w:tcPr>
            <w:tcW w:w="1346" w:type="dxa"/>
            <w:vMerge w:val="restart"/>
            <w:tcBorders>
              <w:top w:val="single" w:sz="8" w:space="0" w:color="auto"/>
              <w:left w:val="nil"/>
              <w:bottom w:val="single" w:sz="8" w:space="0" w:color="000000"/>
              <w:right w:val="nil"/>
            </w:tcBorders>
            <w:shd w:val="clear" w:color="auto" w:fill="auto"/>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Forest Area (Ha)</w:t>
            </w:r>
          </w:p>
        </w:tc>
        <w:tc>
          <w:tcPr>
            <w:tcW w:w="2970" w:type="dxa"/>
            <w:gridSpan w:val="5"/>
            <w:tcBorders>
              <w:top w:val="single" w:sz="8" w:space="0" w:color="auto"/>
              <w:left w:val="nil"/>
              <w:bottom w:val="single" w:sz="4"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Forestry Affairs Expenditure per Hectare</w:t>
            </w:r>
          </w:p>
        </w:tc>
      </w:tr>
      <w:tr w:rsidR="00B42460" w:rsidRPr="009622FC">
        <w:trPr>
          <w:trHeight w:val="315"/>
          <w:jc w:val="center"/>
        </w:trPr>
        <w:tc>
          <w:tcPr>
            <w:tcW w:w="2169" w:type="dxa"/>
            <w:vMerge/>
            <w:tcBorders>
              <w:top w:val="nil"/>
              <w:left w:val="nil"/>
              <w:bottom w:val="single" w:sz="8" w:space="0" w:color="000000"/>
              <w:right w:val="nil"/>
            </w:tcBorders>
            <w:vAlign w:val="center"/>
          </w:tcPr>
          <w:p w:rsidR="00B42460" w:rsidRPr="009622FC" w:rsidRDefault="00B42460" w:rsidP="00B42460">
            <w:pPr>
              <w:spacing w:after="0"/>
              <w:rPr>
                <w:rFonts w:ascii="Garamond" w:eastAsia="Times New Roman" w:hAnsi="Garamond" w:cs="Calibri"/>
                <w:color w:val="000000"/>
                <w:sz w:val="20"/>
              </w:rPr>
            </w:pPr>
          </w:p>
        </w:tc>
        <w:tc>
          <w:tcPr>
            <w:tcW w:w="117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2009</w:t>
            </w:r>
          </w:p>
        </w:tc>
        <w:tc>
          <w:tcPr>
            <w:tcW w:w="108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2010</w:t>
            </w:r>
          </w:p>
        </w:tc>
        <w:tc>
          <w:tcPr>
            <w:tcW w:w="108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2011</w:t>
            </w:r>
          </w:p>
        </w:tc>
        <w:tc>
          <w:tcPr>
            <w:tcW w:w="1346" w:type="dxa"/>
            <w:vMerge/>
            <w:tcBorders>
              <w:top w:val="nil"/>
              <w:left w:val="nil"/>
              <w:bottom w:val="single" w:sz="8" w:space="0" w:color="000000"/>
              <w:right w:val="nil"/>
            </w:tcBorders>
            <w:vAlign w:val="center"/>
          </w:tcPr>
          <w:p w:rsidR="00B42460" w:rsidRPr="009622FC" w:rsidRDefault="00B42460" w:rsidP="00B42460">
            <w:pPr>
              <w:spacing w:after="0"/>
              <w:rPr>
                <w:rFonts w:ascii="Garamond" w:eastAsia="Times New Roman" w:hAnsi="Garamond" w:cs="Calibri"/>
                <w:color w:val="000000"/>
                <w:sz w:val="20"/>
              </w:rPr>
            </w:pPr>
          </w:p>
        </w:tc>
        <w:tc>
          <w:tcPr>
            <w:tcW w:w="1340" w:type="dxa"/>
            <w:gridSpan w:val="2"/>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2009</w:t>
            </w:r>
          </w:p>
        </w:tc>
        <w:tc>
          <w:tcPr>
            <w:tcW w:w="990" w:type="dxa"/>
            <w:gridSpan w:val="2"/>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2010</w:t>
            </w:r>
          </w:p>
        </w:tc>
        <w:tc>
          <w:tcPr>
            <w:tcW w:w="64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2011</w:t>
            </w:r>
          </w:p>
        </w:tc>
      </w:tr>
      <w:tr w:rsidR="00B42460" w:rsidRPr="009622FC">
        <w:trPr>
          <w:trHeight w:val="300"/>
          <w:jc w:val="center"/>
        </w:trPr>
        <w:tc>
          <w:tcPr>
            <w:tcW w:w="2169" w:type="dxa"/>
            <w:tcBorders>
              <w:top w:val="nil"/>
              <w:left w:val="nil"/>
              <w:bottom w:val="nil"/>
              <w:right w:val="nil"/>
            </w:tcBorders>
            <w:shd w:val="clear" w:color="auto" w:fill="auto"/>
            <w:noWrap/>
            <w:vAlign w:val="center"/>
          </w:tcPr>
          <w:p w:rsidR="00B42460" w:rsidRPr="009622FC" w:rsidRDefault="00B42460" w:rsidP="00B42460">
            <w:pPr>
              <w:spacing w:after="0"/>
              <w:rPr>
                <w:rFonts w:ascii="Garamond" w:eastAsia="Times New Roman" w:hAnsi="Garamond" w:cs="Calibri"/>
                <w:color w:val="000000"/>
                <w:sz w:val="20"/>
              </w:rPr>
            </w:pPr>
            <w:r w:rsidRPr="009622FC">
              <w:rPr>
                <w:rFonts w:ascii="Garamond" w:hAnsi="Garamond" w:cs="Calibri"/>
                <w:color w:val="000000"/>
                <w:sz w:val="20"/>
              </w:rPr>
              <w:t>South Sumatra</w:t>
            </w:r>
          </w:p>
        </w:tc>
        <w:tc>
          <w:tcPr>
            <w:tcW w:w="117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 xml:space="preserve"> 9,010 </w:t>
            </w:r>
          </w:p>
        </w:tc>
        <w:tc>
          <w:tcPr>
            <w:tcW w:w="108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13,698</w:t>
            </w:r>
          </w:p>
        </w:tc>
        <w:tc>
          <w:tcPr>
            <w:tcW w:w="108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16,322</w:t>
            </w:r>
          </w:p>
        </w:tc>
        <w:tc>
          <w:tcPr>
            <w:tcW w:w="1346" w:type="dxa"/>
            <w:tcBorders>
              <w:top w:val="nil"/>
              <w:left w:val="nil"/>
              <w:bottom w:val="nil"/>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3,760,662</w:t>
            </w:r>
          </w:p>
        </w:tc>
        <w:tc>
          <w:tcPr>
            <w:tcW w:w="99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5,055</w:t>
            </w:r>
          </w:p>
        </w:tc>
        <w:tc>
          <w:tcPr>
            <w:tcW w:w="990" w:type="dxa"/>
            <w:gridSpan w:val="2"/>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3,642</w:t>
            </w:r>
          </w:p>
        </w:tc>
        <w:tc>
          <w:tcPr>
            <w:tcW w:w="990" w:type="dxa"/>
            <w:gridSpan w:val="2"/>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4,340</w:t>
            </w:r>
          </w:p>
        </w:tc>
      </w:tr>
      <w:tr w:rsidR="00B42460" w:rsidRPr="009622FC">
        <w:trPr>
          <w:trHeight w:val="300"/>
          <w:jc w:val="center"/>
        </w:trPr>
        <w:tc>
          <w:tcPr>
            <w:tcW w:w="2169" w:type="dxa"/>
            <w:tcBorders>
              <w:top w:val="nil"/>
              <w:left w:val="nil"/>
              <w:bottom w:val="nil"/>
              <w:right w:val="nil"/>
            </w:tcBorders>
            <w:shd w:val="clear" w:color="auto" w:fill="auto"/>
            <w:noWrap/>
            <w:vAlign w:val="center"/>
          </w:tcPr>
          <w:p w:rsidR="00B42460" w:rsidRPr="009622FC" w:rsidRDefault="00B42460" w:rsidP="00B42460">
            <w:pPr>
              <w:spacing w:after="0"/>
              <w:rPr>
                <w:rFonts w:ascii="Garamond" w:eastAsia="Times New Roman" w:hAnsi="Garamond" w:cs="Calibri"/>
                <w:color w:val="000000"/>
                <w:sz w:val="20"/>
              </w:rPr>
            </w:pPr>
            <w:r w:rsidRPr="009622FC">
              <w:rPr>
                <w:rFonts w:ascii="Garamond" w:hAnsi="Garamond" w:cs="Calibri"/>
                <w:color w:val="000000"/>
                <w:sz w:val="20"/>
              </w:rPr>
              <w:t>West Kalimantan</w:t>
            </w:r>
          </w:p>
        </w:tc>
        <w:tc>
          <w:tcPr>
            <w:tcW w:w="117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 xml:space="preserve"> 6,795 </w:t>
            </w:r>
          </w:p>
        </w:tc>
        <w:tc>
          <w:tcPr>
            <w:tcW w:w="108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21,240</w:t>
            </w:r>
          </w:p>
        </w:tc>
        <w:tc>
          <w:tcPr>
            <w:tcW w:w="108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20,394</w:t>
            </w:r>
          </w:p>
        </w:tc>
        <w:tc>
          <w:tcPr>
            <w:tcW w:w="1346" w:type="dxa"/>
            <w:tcBorders>
              <w:top w:val="nil"/>
              <w:left w:val="nil"/>
              <w:bottom w:val="nil"/>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9,178,760</w:t>
            </w:r>
          </w:p>
        </w:tc>
        <w:tc>
          <w:tcPr>
            <w:tcW w:w="990" w:type="dxa"/>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740</w:t>
            </w:r>
          </w:p>
        </w:tc>
        <w:tc>
          <w:tcPr>
            <w:tcW w:w="990" w:type="dxa"/>
            <w:gridSpan w:val="2"/>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2,314</w:t>
            </w:r>
          </w:p>
        </w:tc>
        <w:tc>
          <w:tcPr>
            <w:tcW w:w="990" w:type="dxa"/>
            <w:gridSpan w:val="2"/>
            <w:tcBorders>
              <w:top w:val="nil"/>
              <w:left w:val="nil"/>
              <w:bottom w:val="nil"/>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2,221</w:t>
            </w:r>
          </w:p>
        </w:tc>
      </w:tr>
      <w:tr w:rsidR="00B42460" w:rsidRPr="009622FC">
        <w:trPr>
          <w:trHeight w:val="315"/>
          <w:jc w:val="center"/>
        </w:trPr>
        <w:tc>
          <w:tcPr>
            <w:tcW w:w="2169"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rPr>
                <w:rFonts w:ascii="Garamond" w:eastAsia="Times New Roman" w:hAnsi="Garamond" w:cs="Calibri"/>
                <w:color w:val="000000"/>
                <w:sz w:val="20"/>
              </w:rPr>
            </w:pPr>
            <w:r w:rsidRPr="009622FC">
              <w:rPr>
                <w:rFonts w:ascii="Garamond" w:hAnsi="Garamond" w:cs="Calibri"/>
                <w:color w:val="000000"/>
                <w:sz w:val="20"/>
              </w:rPr>
              <w:t>East Kalimantan</w:t>
            </w:r>
          </w:p>
        </w:tc>
        <w:tc>
          <w:tcPr>
            <w:tcW w:w="117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 xml:space="preserve"> 9,543 </w:t>
            </w:r>
          </w:p>
        </w:tc>
        <w:tc>
          <w:tcPr>
            <w:tcW w:w="108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84,113</w:t>
            </w:r>
          </w:p>
        </w:tc>
        <w:tc>
          <w:tcPr>
            <w:tcW w:w="108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78,880</w:t>
            </w:r>
          </w:p>
        </w:tc>
        <w:tc>
          <w:tcPr>
            <w:tcW w:w="1346"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center"/>
              <w:rPr>
                <w:rFonts w:ascii="Garamond" w:eastAsia="Times New Roman" w:hAnsi="Garamond" w:cs="Calibri"/>
                <w:color w:val="000000"/>
                <w:sz w:val="20"/>
              </w:rPr>
            </w:pPr>
            <w:r w:rsidRPr="009622FC">
              <w:rPr>
                <w:rFonts w:ascii="Garamond" w:hAnsi="Garamond" w:cs="Calibri"/>
                <w:color w:val="000000"/>
                <w:sz w:val="20"/>
              </w:rPr>
              <w:t>14,651,553</w:t>
            </w:r>
          </w:p>
        </w:tc>
        <w:tc>
          <w:tcPr>
            <w:tcW w:w="990" w:type="dxa"/>
            <w:tcBorders>
              <w:top w:val="nil"/>
              <w:left w:val="nil"/>
              <w:bottom w:val="single" w:sz="8" w:space="0" w:color="auto"/>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4,746</w:t>
            </w:r>
          </w:p>
        </w:tc>
        <w:tc>
          <w:tcPr>
            <w:tcW w:w="990" w:type="dxa"/>
            <w:gridSpan w:val="2"/>
            <w:tcBorders>
              <w:top w:val="nil"/>
              <w:left w:val="nil"/>
              <w:bottom w:val="single" w:sz="8" w:space="0" w:color="auto"/>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5,740</w:t>
            </w:r>
          </w:p>
        </w:tc>
        <w:tc>
          <w:tcPr>
            <w:tcW w:w="990" w:type="dxa"/>
            <w:gridSpan w:val="2"/>
            <w:tcBorders>
              <w:top w:val="nil"/>
              <w:left w:val="nil"/>
              <w:bottom w:val="single" w:sz="8" w:space="0" w:color="auto"/>
              <w:right w:val="nil"/>
            </w:tcBorders>
            <w:shd w:val="clear" w:color="auto" w:fill="auto"/>
            <w:noWrap/>
            <w:vAlign w:val="center"/>
          </w:tcPr>
          <w:p w:rsidR="00B42460" w:rsidRPr="009622FC" w:rsidRDefault="00B42460" w:rsidP="00B42460">
            <w:pPr>
              <w:spacing w:after="0"/>
              <w:jc w:val="right"/>
              <w:rPr>
                <w:rFonts w:ascii="Garamond" w:eastAsia="Times New Roman" w:hAnsi="Garamond" w:cs="Calibri"/>
                <w:color w:val="000000"/>
                <w:sz w:val="20"/>
              </w:rPr>
            </w:pPr>
            <w:r w:rsidRPr="009622FC">
              <w:rPr>
                <w:rFonts w:ascii="Garamond" w:hAnsi="Garamond" w:cs="Calibri"/>
                <w:color w:val="000000"/>
                <w:sz w:val="20"/>
              </w:rPr>
              <w:t>5,383</w:t>
            </w:r>
          </w:p>
        </w:tc>
      </w:tr>
    </w:tbl>
    <w:p w:rsidR="00B42460" w:rsidRPr="009622FC" w:rsidRDefault="00B42460" w:rsidP="00B42460">
      <w:pPr>
        <w:rPr>
          <w:rFonts w:ascii="Garamond" w:hAnsi="Garamond"/>
          <w:sz w:val="16"/>
        </w:rPr>
      </w:pPr>
      <w:r w:rsidRPr="009622FC">
        <w:rPr>
          <w:rFonts w:ascii="Garamond" w:hAnsi="Garamond"/>
          <w:sz w:val="16"/>
        </w:rPr>
        <w:t>Source: Ringkasan APBD berdasarkan Urusan, 2009-2011 (appendix II of perda APBD) and Daerah Dalam Angka (DDA) Provinsi 2012, processed by Seknas FITRA</w:t>
      </w:r>
    </w:p>
    <w:p w:rsidR="00B42460" w:rsidRPr="009622FC" w:rsidRDefault="00B42460" w:rsidP="00B42460">
      <w:pPr>
        <w:jc w:val="both"/>
        <w:rPr>
          <w:rFonts w:ascii="Garamond" w:hAnsi="Garamond"/>
        </w:rPr>
      </w:pPr>
      <w:r w:rsidRPr="009622FC">
        <w:rPr>
          <w:rFonts w:ascii="Garamond" w:hAnsi="Garamond"/>
          <w:b/>
        </w:rPr>
        <w:t xml:space="preserve">Only about one third of forestry sector revenue is allocated for forestry sector expenditure. </w:t>
      </w:r>
      <w:r w:rsidRPr="009622FC">
        <w:rPr>
          <w:rFonts w:ascii="Garamond" w:hAnsi="Garamond"/>
        </w:rPr>
        <w:t>The ratio of forestry affairs spending to the forestry balanced fund (Forest DBH SDA and Forestry DAK) in SDA-producing regions is not high enough, at only 36 percent. The districts of Musi Banyuasin, Berau and Bulungan as high forest DBH generating regions only allocate 44, 45 and 22 percent respectively. Meanwhile, Musi Rawas district has the highest ratio despite its continuous decline. The same goes for Kubu Raya and Sintang districts, even though their regional revenue in the forestry sector is insignificant. The forestry revenue from tree felling and new permit opening should be directly proportional to the government’s efforts toward rehabilitating land and forests. This phenomenon indicates how low the regional government’s commitment to forest governance in their regions is, especially when compared to other government commitments.</w:t>
      </w:r>
    </w:p>
    <w:p w:rsidR="00B42460" w:rsidRPr="009622FC" w:rsidRDefault="00B42460" w:rsidP="00B42460">
      <w:pPr>
        <w:jc w:val="center"/>
        <w:rPr>
          <w:rFonts w:ascii="Garamond" w:hAnsi="Garamond"/>
          <w:lang w:val="en-US"/>
        </w:rPr>
      </w:pPr>
      <w:r w:rsidRPr="009622FC">
        <w:rPr>
          <w:rFonts w:ascii="Garamond" w:hAnsi="Garamond"/>
        </w:rPr>
        <w:br w:type="page"/>
      </w:r>
      <w:r w:rsidR="00273E5C" w:rsidRPr="009622FC">
        <w:rPr>
          <w:rFonts w:ascii="Garamond" w:hAnsi="Garamond"/>
          <w:b/>
          <w:lang w:val="en-US"/>
        </w:rPr>
        <w:lastRenderedPageBreak/>
        <w:t>Graphic</w:t>
      </w:r>
      <w:r w:rsidR="00E67585" w:rsidRPr="009622FC">
        <w:rPr>
          <w:rFonts w:ascii="Garamond" w:hAnsi="Garamond"/>
          <w:b/>
          <w:lang w:val="en-US"/>
        </w:rPr>
        <w:t xml:space="preserve"> 3.22 </w:t>
      </w:r>
      <w:r w:rsidRPr="009622FC">
        <w:rPr>
          <w:rFonts w:ascii="Garamond" w:hAnsi="Garamond"/>
          <w:b/>
          <w:lang w:val="en-US"/>
        </w:rPr>
        <w:t>Ratio of Spending on Forestry Affairs to Balanced Funds for Forestry, 2009-2012</w:t>
      </w:r>
    </w:p>
    <w:p w:rsidR="00B42460" w:rsidRPr="009622FC" w:rsidRDefault="00805913" w:rsidP="00B42460">
      <w:pPr>
        <w:jc w:val="center"/>
        <w:rPr>
          <w:rFonts w:ascii="Garamond" w:hAnsi="Garamond"/>
          <w:b/>
          <w:lang w:val="en-US"/>
        </w:rPr>
      </w:pPr>
      <w:r w:rsidRPr="009622FC">
        <w:rPr>
          <w:rFonts w:ascii="Garamond" w:hAnsi="Garamond"/>
          <w:b/>
          <w:noProof/>
          <w:lang w:val="en-US" w:eastAsia="en-US" w:bidi="ar-SA"/>
        </w:rPr>
        <w:drawing>
          <wp:inline distT="0" distB="0" distL="0" distR="0">
            <wp:extent cx="4758078" cy="2301578"/>
            <wp:effectExtent l="10568" t="5377" r="5284" b="0"/>
            <wp:docPr id="25" name="C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42460" w:rsidRPr="009622FC" w:rsidRDefault="00E67585" w:rsidP="00B42460">
      <w:pPr>
        <w:jc w:val="both"/>
        <w:rPr>
          <w:rFonts w:ascii="Garamond" w:hAnsi="Garamond"/>
          <w:b/>
          <w:lang w:val="en-US"/>
        </w:rPr>
      </w:pPr>
      <w:r w:rsidRPr="009622FC">
        <w:rPr>
          <w:rFonts w:ascii="Garamond" w:hAnsi="Garamond"/>
          <w:b/>
        </w:rPr>
        <w:t>Forty</w:t>
      </w:r>
      <w:r w:rsidR="00B42460" w:rsidRPr="009622FC">
        <w:rPr>
          <w:rFonts w:ascii="Garamond" w:hAnsi="Garamond"/>
          <w:b/>
        </w:rPr>
        <w:t xml:space="preserve"> percent of DBH SDA revenue</w:t>
      </w:r>
      <w:r w:rsidR="00B42460" w:rsidRPr="009622FC">
        <w:rPr>
          <w:rFonts w:ascii="Garamond" w:hAnsi="Garamond"/>
          <w:b/>
          <w:vertAlign w:val="superscript"/>
          <w:lang w:val="en-US"/>
        </w:rPr>
        <w:footnoteReference w:id="55"/>
      </w:r>
      <w:r w:rsidR="00B42460" w:rsidRPr="009622FC">
        <w:rPr>
          <w:rFonts w:ascii="Garamond" w:hAnsi="Garamond"/>
          <w:b/>
        </w:rPr>
        <w:t xml:space="preserve"> is used to pay for civil servants. </w:t>
      </w:r>
      <w:r w:rsidR="00B42460" w:rsidRPr="009622FC">
        <w:rPr>
          <w:rFonts w:ascii="Garamond" w:hAnsi="Garamond"/>
        </w:rPr>
        <w:t>On average in the three producing districts (Berau, Bulungan and Musi Banyuasin), the ratio of DBH-SDA revenue to civi</w:t>
      </w:r>
      <w:r w:rsidR="00890C6A" w:rsidRPr="009622FC">
        <w:rPr>
          <w:rFonts w:ascii="Garamond" w:hAnsi="Garamond"/>
        </w:rPr>
        <w:t>l servant spending during 2009-</w:t>
      </w:r>
      <w:r w:rsidR="00B42460" w:rsidRPr="009622FC">
        <w:rPr>
          <w:rFonts w:ascii="Garamond" w:hAnsi="Garamond"/>
        </w:rPr>
        <w:t>2012 was 40 percent. M</w:t>
      </w:r>
      <w:r w:rsidR="00890C6A" w:rsidRPr="009622FC">
        <w:rPr>
          <w:rFonts w:ascii="Garamond" w:hAnsi="Garamond"/>
        </w:rPr>
        <w:t>usi Banyuasin district allocated</w:t>
      </w:r>
      <w:r w:rsidR="00B42460" w:rsidRPr="009622FC">
        <w:rPr>
          <w:rFonts w:ascii="Garamond" w:hAnsi="Garamond"/>
        </w:rPr>
        <w:t xml:space="preserve"> half of its DBH-SDA revenue to civil servants. Bulungan district </w:t>
      </w:r>
      <w:r w:rsidR="00890C6A" w:rsidRPr="009622FC">
        <w:rPr>
          <w:rFonts w:ascii="Garamond" w:hAnsi="Garamond"/>
        </w:rPr>
        <w:t>allocated</w:t>
      </w:r>
      <w:r w:rsidR="00B42460" w:rsidRPr="009622FC">
        <w:rPr>
          <w:rFonts w:ascii="Garamond" w:hAnsi="Garamond"/>
        </w:rPr>
        <w:t xml:space="preserve"> 35 percent, and Berau 23 percent. The DAU received by the three regions was found to be incapable of fully financing civil servant expenditure. Therefore, this should be covered by the DBH. The remaining DBH-SDA is still substantial and can be used to cover the fiscal gap, or for requirements of regional development.</w:t>
      </w:r>
    </w:p>
    <w:p w:rsidR="00B42460" w:rsidRPr="009622FC" w:rsidRDefault="00B42460" w:rsidP="00B42460">
      <w:pPr>
        <w:pStyle w:val="ListParagraph"/>
        <w:numPr>
          <w:ilvl w:val="0"/>
          <w:numId w:val="35"/>
        </w:numPr>
        <w:rPr>
          <w:rFonts w:ascii="Garamond" w:hAnsi="Garamond"/>
          <w:b/>
        </w:rPr>
      </w:pPr>
      <w:r w:rsidRPr="009622FC">
        <w:rPr>
          <w:rFonts w:ascii="Garamond" w:hAnsi="Garamond"/>
          <w:b/>
        </w:rPr>
        <w:t>Environment and Spatial Zoning Affairs Expenditure</w:t>
      </w:r>
    </w:p>
    <w:p w:rsidR="00B42460" w:rsidRPr="009622FC" w:rsidRDefault="00890C6A" w:rsidP="00B42460">
      <w:pPr>
        <w:jc w:val="both"/>
        <w:rPr>
          <w:rFonts w:ascii="Garamond" w:hAnsi="Garamond"/>
        </w:rPr>
      </w:pPr>
      <w:r w:rsidRPr="009622FC">
        <w:rPr>
          <w:rFonts w:ascii="Garamond" w:hAnsi="Garamond"/>
          <w:b/>
        </w:rPr>
        <w:t>For</w:t>
      </w:r>
      <w:r w:rsidR="00B42460" w:rsidRPr="009622FC">
        <w:rPr>
          <w:rFonts w:ascii="Garamond" w:hAnsi="Garamond"/>
          <w:b/>
        </w:rPr>
        <w:t xml:space="preserve"> mandatory affairs, the allocation for environment and spatial zoning is very small. </w:t>
      </w:r>
      <w:r w:rsidR="00B42460" w:rsidRPr="009622FC">
        <w:rPr>
          <w:rFonts w:ascii="Garamond" w:hAnsi="Garamond"/>
        </w:rPr>
        <w:t xml:space="preserve">Expenditure for each of these affairs is allocated at only 1 percent. This allocation is almost the same as that for forestry affairs. From the budgets of the three provinces reviewed in this study, the expenditure proportion for environment affairs within the period 2009-2012 reached a maximum of 0.4 percent and a minimum of 0.2 percent of the total regional spending. Out of the six districts, Sintang allocated the greatest amount for environment affairs, at 2.3 percent, and Musi Rawas and Berau allocated the least, at only 0.4 percent and 0.5 percent respectively. Other regions with allocations greater than 1 percent were Bulungan, at 1.66 percent, and Musi Banyuasin, at 1.74 percent.  </w:t>
      </w:r>
    </w:p>
    <w:p w:rsidR="00B42460" w:rsidRPr="009622FC" w:rsidRDefault="00273E5C" w:rsidP="00B42460">
      <w:pPr>
        <w:jc w:val="center"/>
        <w:rPr>
          <w:rFonts w:ascii="Garamond" w:hAnsi="Garamond"/>
          <w:b/>
        </w:rPr>
      </w:pPr>
      <w:r w:rsidRPr="009622FC">
        <w:rPr>
          <w:rFonts w:ascii="Garamond" w:hAnsi="Garamond"/>
          <w:b/>
        </w:rPr>
        <w:t>Graphic</w:t>
      </w:r>
      <w:r w:rsidR="00E67585" w:rsidRPr="009622FC">
        <w:rPr>
          <w:rFonts w:ascii="Garamond" w:hAnsi="Garamond"/>
          <w:b/>
        </w:rPr>
        <w:t xml:space="preserve"> 3.23 </w:t>
      </w:r>
      <w:r w:rsidR="00B42460" w:rsidRPr="009622FC">
        <w:rPr>
          <w:rFonts w:ascii="Garamond" w:hAnsi="Garamond"/>
          <w:b/>
        </w:rPr>
        <w:t>Contribution of DBH SDA on Civil Servant Spending, 2011</w:t>
      </w:r>
    </w:p>
    <w:p w:rsidR="00B42460" w:rsidRPr="009622FC" w:rsidRDefault="00805913" w:rsidP="00B42460">
      <w:pPr>
        <w:jc w:val="center"/>
        <w:rPr>
          <w:rFonts w:ascii="Garamond" w:hAnsi="Garamond"/>
          <w:b/>
        </w:rPr>
      </w:pPr>
      <w:r w:rsidRPr="009622FC">
        <w:rPr>
          <w:rFonts w:ascii="Garamond" w:hAnsi="Garamond"/>
          <w:b/>
          <w:noProof/>
          <w:lang w:val="en-US" w:eastAsia="en-US" w:bidi="ar-SA"/>
        </w:rPr>
        <w:drawing>
          <wp:inline distT="0" distB="0" distL="0" distR="0">
            <wp:extent cx="3749215" cy="2056346"/>
            <wp:effectExtent l="8880" t="4907" r="5550" b="1227"/>
            <wp:docPr id="26" name="C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42460" w:rsidRPr="009622FC" w:rsidRDefault="00B42460" w:rsidP="00B42460">
      <w:pPr>
        <w:jc w:val="both"/>
        <w:rPr>
          <w:rFonts w:ascii="Garamond" w:hAnsi="Garamond"/>
        </w:rPr>
      </w:pPr>
      <w:r w:rsidRPr="009622FC">
        <w:rPr>
          <w:rFonts w:ascii="Garamond" w:hAnsi="Garamond"/>
          <w:b/>
        </w:rPr>
        <w:lastRenderedPageBreak/>
        <w:t xml:space="preserve">Aside from the limited allocations mentioned above, some regions did not make a budget allocation at all for spatial zoning affairs. </w:t>
      </w:r>
      <w:r w:rsidRPr="009622FC">
        <w:rPr>
          <w:rFonts w:ascii="Garamond" w:hAnsi="Garamond"/>
        </w:rPr>
        <w:t>The expenditure allocation for spatial zoning affairs exists only in the districts of Musi Rawas (2009, 2010, 2012), Sintang (2009, 2010, 2011), Kubu Raya (2010, 2011) and Berau (2012).</w:t>
      </w:r>
      <w:r w:rsidRPr="009622FC">
        <w:rPr>
          <w:rFonts w:ascii="Garamond" w:hAnsi="Garamond"/>
          <w:vertAlign w:val="superscript"/>
        </w:rPr>
        <w:footnoteReference w:id="56"/>
      </w:r>
      <w:r w:rsidRPr="009622FC">
        <w:rPr>
          <w:rFonts w:ascii="Garamond" w:hAnsi="Garamond"/>
        </w:rPr>
        <w:t xml:space="preserve"> The districts of Musi Banyuasin and Bulungan did not allocate any of the regional budget for spatial zoning affairs within four consecutive years. In the 2013 RKPD of Berau district it is mentioned that the regional government has performed activities related to spatial zoning, as they are conducted by the housing and spatial zoning department in 2011, even though its budget is limited. The performed activities included: Training for apparatus in planning spatial zoning; Preparation of Spatial Zoning Detailed Plans for WP.II T</w:t>
      </w:r>
      <w:r w:rsidR="003E6557">
        <w:rPr>
          <w:rFonts w:ascii="Garamond" w:hAnsi="Garamond"/>
        </w:rPr>
        <w:t>anjung Redeb; and Spatial Utili</w:t>
      </w:r>
      <w:r w:rsidR="003E6557">
        <w:rPr>
          <w:rFonts w:ascii="Garamond" w:hAnsi="Garamond"/>
          <w:lang w:val="en-US"/>
        </w:rPr>
        <w:t>s</w:t>
      </w:r>
      <w:r w:rsidRPr="009622FC">
        <w:rPr>
          <w:rFonts w:ascii="Garamond" w:hAnsi="Garamond"/>
        </w:rPr>
        <w:t xml:space="preserve">ation Monitoring, again despite the limited budget. It seems that the other regions did the same, with equally low budget absorption. Meanwhile, at the provincial level only East Kalimantan made an allocation for spatial zoning within the four years. The average spending for spatial zoning affairs over the four years did not exceed 0.2 percent of the total regional spending. </w:t>
      </w:r>
    </w:p>
    <w:p w:rsidR="00B42460" w:rsidRPr="009622FC" w:rsidRDefault="00273E5C" w:rsidP="00B42460">
      <w:pPr>
        <w:jc w:val="center"/>
        <w:rPr>
          <w:rFonts w:ascii="Garamond" w:hAnsi="Garamond"/>
          <w:b/>
        </w:rPr>
      </w:pPr>
      <w:r w:rsidRPr="009622FC">
        <w:rPr>
          <w:rFonts w:ascii="Garamond" w:hAnsi="Garamond"/>
          <w:b/>
        </w:rPr>
        <w:t>Graphic</w:t>
      </w:r>
      <w:r w:rsidR="00E67585" w:rsidRPr="009622FC">
        <w:rPr>
          <w:rFonts w:ascii="Garamond" w:hAnsi="Garamond"/>
          <w:b/>
        </w:rPr>
        <w:t xml:space="preserve"> 3.24 </w:t>
      </w:r>
      <w:r w:rsidR="00B42460" w:rsidRPr="009622FC">
        <w:rPr>
          <w:rFonts w:ascii="Garamond" w:hAnsi="Garamond"/>
          <w:b/>
        </w:rPr>
        <w:t>Expenditure on Spatial Planning Affairs, 2009-2012</w:t>
      </w:r>
    </w:p>
    <w:p w:rsidR="00B42460" w:rsidRPr="009622FC" w:rsidRDefault="00805913" w:rsidP="00B42460">
      <w:pPr>
        <w:jc w:val="center"/>
        <w:rPr>
          <w:rFonts w:ascii="Garamond" w:hAnsi="Garamond"/>
          <w:b/>
          <w:lang w:val="en-US"/>
        </w:rPr>
      </w:pPr>
      <w:r w:rsidRPr="009622FC">
        <w:rPr>
          <w:rFonts w:ascii="Garamond" w:hAnsi="Garamond"/>
          <w:b/>
          <w:noProof/>
          <w:lang w:val="en-US" w:eastAsia="en-US" w:bidi="ar-SA"/>
        </w:rPr>
        <w:drawing>
          <wp:inline distT="0" distB="0" distL="0" distR="0">
            <wp:extent cx="5489067" cy="2679954"/>
            <wp:effectExtent l="12192" t="6096" r="6096" b="3810"/>
            <wp:docPr id="27" name="C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42460" w:rsidRPr="009622FC" w:rsidRDefault="00B42460" w:rsidP="00B42460">
      <w:pPr>
        <w:jc w:val="both"/>
        <w:rPr>
          <w:rFonts w:ascii="Garamond" w:hAnsi="Garamond"/>
        </w:rPr>
      </w:pPr>
      <w:r w:rsidRPr="009622FC">
        <w:rPr>
          <w:rFonts w:ascii="Garamond" w:hAnsi="Garamond"/>
        </w:rPr>
        <w:t>Spatial zon</w:t>
      </w:r>
      <w:r w:rsidR="00B76BD6" w:rsidRPr="009622FC">
        <w:rPr>
          <w:rFonts w:ascii="Garamond" w:hAnsi="Garamond"/>
        </w:rPr>
        <w:t>ing affairs are important</w:t>
      </w:r>
      <w:r w:rsidRPr="009622FC">
        <w:rPr>
          <w:rFonts w:ascii="Garamond" w:hAnsi="Garamond"/>
        </w:rPr>
        <w:t xml:space="preserve"> in the land and forest governance context. In general, the allocation for the preparation of a Regional Spatial Zoning District (RTRWK) involves making amendments </w:t>
      </w:r>
      <w:r w:rsidR="00B76BD6" w:rsidRPr="009622FC">
        <w:rPr>
          <w:rFonts w:ascii="Garamond" w:hAnsi="Garamond"/>
        </w:rPr>
        <w:t>as well as conductin a</w:t>
      </w:r>
      <w:r w:rsidRPr="009622FC">
        <w:rPr>
          <w:rFonts w:ascii="Garamond" w:hAnsi="Garamond"/>
        </w:rPr>
        <w:t xml:space="preserve"> Strategic Environmental Study (KLHS), which forms the basis of managing land and forest governance planning. In other findings, many regional governments were found to have neither prepared</w:t>
      </w:r>
      <w:r w:rsidR="00B76BD6" w:rsidRPr="009622FC">
        <w:rPr>
          <w:rFonts w:ascii="Garamond" w:hAnsi="Garamond"/>
        </w:rPr>
        <w:t xml:space="preserve"> nor established any general or</w:t>
      </w:r>
      <w:r w:rsidRPr="009622FC">
        <w:rPr>
          <w:rFonts w:ascii="Garamond" w:hAnsi="Garamond"/>
        </w:rPr>
        <w:t xml:space="preserve"> detailed plan of spatial zoning amended by Law No. 27/2007 concerning Spatial Zoning and Government Regulation No. 15/2010, at the latest two years since the preparation of a general and detailed plan of spatial zoning.</w:t>
      </w:r>
      <w:r w:rsidRPr="009622FC">
        <w:rPr>
          <w:rStyle w:val="FootnoteReference"/>
          <w:rFonts w:ascii="Garamond" w:hAnsi="Garamond"/>
        </w:rPr>
        <w:footnoteReference w:id="57"/>
      </w:r>
    </w:p>
    <w:p w:rsidR="00B42460" w:rsidRPr="009622FC" w:rsidRDefault="00B42460" w:rsidP="00B42460">
      <w:pPr>
        <w:jc w:val="both"/>
        <w:rPr>
          <w:rFonts w:ascii="Garamond" w:hAnsi="Garamond"/>
        </w:rPr>
      </w:pPr>
      <w:r w:rsidRPr="009622FC">
        <w:rPr>
          <w:rFonts w:ascii="Garamond" w:hAnsi="Garamond"/>
          <w:b/>
          <w:bCs/>
        </w:rPr>
        <w:t>A large part of the small expenditure allocation is absorbed by civil servant spending</w:t>
      </w:r>
      <w:r w:rsidRPr="009622FC">
        <w:rPr>
          <w:rFonts w:ascii="Garamond" w:hAnsi="Garamond"/>
          <w:bCs/>
        </w:rPr>
        <w:t>. In addition to the small allocation, the budget for environmental affairs is mostly absorbed by civil servant spending, amounting to 44 percent based on the regional average during the 2009-2011 period. On the other hand, the goods expenditure is absorbed at 34 percent and the capital expenditure is absorbed at only 22 percent.</w:t>
      </w:r>
      <w:r w:rsidRPr="009622FC">
        <w:rPr>
          <w:rFonts w:ascii="Garamond" w:hAnsi="Garamond"/>
          <w:b/>
          <w:bCs/>
        </w:rPr>
        <w:t xml:space="preserve"> </w:t>
      </w:r>
      <w:r w:rsidRPr="009622FC">
        <w:rPr>
          <w:rFonts w:ascii="Garamond" w:hAnsi="Garamond"/>
          <w:bCs/>
        </w:rPr>
        <w:t>Therefore, the actual allocation for program spending requirements is even smaller.</w:t>
      </w:r>
      <w:r w:rsidRPr="009622FC">
        <w:rPr>
          <w:rFonts w:ascii="Garamond" w:hAnsi="Garamond"/>
          <w:b/>
          <w:bCs/>
        </w:rPr>
        <w:t xml:space="preserve"> </w:t>
      </w:r>
    </w:p>
    <w:p w:rsidR="00B42460" w:rsidRDefault="00B42460" w:rsidP="00D018C6">
      <w:pPr>
        <w:spacing w:after="0" w:line="240" w:lineRule="auto"/>
        <w:jc w:val="both"/>
        <w:rPr>
          <w:rFonts w:ascii="Garamond" w:hAnsi="Garamond"/>
          <w:lang w:val="en-US"/>
        </w:rPr>
      </w:pPr>
      <w:r w:rsidRPr="009622FC">
        <w:rPr>
          <w:rFonts w:ascii="Garamond" w:hAnsi="Garamond"/>
          <w:b/>
        </w:rPr>
        <w:t>The budget allo</w:t>
      </w:r>
      <w:r w:rsidR="00B76BD6" w:rsidRPr="009622FC">
        <w:rPr>
          <w:rFonts w:ascii="Garamond" w:hAnsi="Garamond"/>
          <w:b/>
        </w:rPr>
        <w:t xml:space="preserve">cation for monitoring is </w:t>
      </w:r>
      <w:r w:rsidRPr="009622FC">
        <w:rPr>
          <w:rFonts w:ascii="Garamond" w:hAnsi="Garamond"/>
          <w:b/>
        </w:rPr>
        <w:t>disappointing</w:t>
      </w:r>
      <w:r w:rsidRPr="009622FC">
        <w:rPr>
          <w:rFonts w:ascii="Garamond" w:hAnsi="Garamond"/>
        </w:rPr>
        <w:t xml:space="preserve">. Only a few regions made some allocation for monitoring activities, namely Musi Banyuasin and Sintang districts. The problem, then, is that the </w:t>
      </w:r>
      <w:r w:rsidRPr="009622FC">
        <w:rPr>
          <w:rFonts w:ascii="Garamond" w:hAnsi="Garamond"/>
        </w:rPr>
        <w:lastRenderedPageBreak/>
        <w:t xml:space="preserve">allocation is also very insignificant, at less than 1 percent of the total existing regional expenditure. The budget for dispute settlement no different, as it is budgeted in an adhoc manner, since the case is also deemed to be a temporary event.   </w:t>
      </w:r>
    </w:p>
    <w:p w:rsidR="00D018C6" w:rsidRPr="009622FC" w:rsidRDefault="00D018C6" w:rsidP="00D018C6">
      <w:pPr>
        <w:spacing w:after="0" w:line="240" w:lineRule="auto"/>
        <w:jc w:val="both"/>
        <w:rPr>
          <w:rFonts w:ascii="Garamond" w:hAnsi="Garamond"/>
          <w:lang w:val="en-US"/>
        </w:rPr>
      </w:pPr>
    </w:p>
    <w:p w:rsidR="00B42460" w:rsidRPr="009622FC" w:rsidRDefault="00D94F38" w:rsidP="00B42460">
      <w:pPr>
        <w:pStyle w:val="ListParagraph"/>
        <w:numPr>
          <w:ilvl w:val="0"/>
          <w:numId w:val="35"/>
        </w:numPr>
        <w:rPr>
          <w:rFonts w:ascii="Garamond" w:hAnsi="Garamond"/>
          <w:b/>
        </w:rPr>
      </w:pPr>
      <w:r w:rsidRPr="00325726">
        <w:rPr>
          <w:rFonts w:ascii="Garamond" w:hAnsi="Garamond"/>
          <w:noProof/>
          <w:lang w:val="en-US" w:eastAsia="en-US" w:bidi="ar-SA"/>
        </w:rPr>
        <w:pict>
          <v:shape id="_x0000_s1030" type="#_x0000_t202" style="position:absolute;left:0;text-align:left;margin-left:223.2pt;margin-top:31.05pt;width:230.9pt;height:160.6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Ab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">
            <v:textbox>
              <w:txbxContent>
                <w:p w:rsidR="005E5906" w:rsidRDefault="005E5906" w:rsidP="00B42460">
                  <w:pPr>
                    <w:shd w:val="clear" w:color="auto" w:fill="E5B8B7"/>
                    <w:rPr>
                      <w:b/>
                    </w:rPr>
                  </w:pPr>
                  <w:r>
                    <w:rPr>
                      <w:b/>
                      <w:lang w:val="en-US"/>
                    </w:rPr>
                    <w:t>Box</w:t>
                  </w:r>
                  <w:r>
                    <w:rPr>
                      <w:b/>
                    </w:rPr>
                    <w:t xml:space="preserve"> 3.4</w:t>
                  </w:r>
                  <w:r w:rsidRPr="009701D2">
                    <w:rPr>
                      <w:b/>
                      <w:lang w:val="en-US"/>
                    </w:rPr>
                    <w:t xml:space="preserve"> </w:t>
                  </w:r>
                  <w:r>
                    <w:rPr>
                      <w:b/>
                      <w:lang w:val="en-US"/>
                    </w:rPr>
                    <w:t>Companies Failing to Deposit Reclamation Guarantee Funds</w:t>
                  </w:r>
                </w:p>
                <w:p w:rsidR="005E5906" w:rsidRPr="00245718" w:rsidRDefault="005E5906" w:rsidP="00B42460">
                  <w:pPr>
                    <w:shd w:val="clear" w:color="auto" w:fill="E5B8B7"/>
                    <w:jc w:val="both"/>
                  </w:pPr>
                  <w:r>
                    <w:t xml:space="preserve">In 2010 in East </w:t>
                  </w:r>
                  <w:r w:rsidRPr="00086473">
                    <w:t>Kalimantan</w:t>
                  </w:r>
                  <w:r>
                    <w:t>, as many as 45 companies in possession of coal-mining permits that were in operation in the district of Kutai Kartanegara, had not yet deposited post-mining reclamation guarantee funds. In fact, these companies have already dredged coal for many years in Kutai Kartanegara.</w:t>
                  </w:r>
                </w:p>
              </w:txbxContent>
            </v:textbox>
            <w10:wrap type="square" anchorx="margin"/>
          </v:shape>
        </w:pict>
      </w:r>
      <w:r w:rsidR="00965437" w:rsidRPr="009622FC">
        <w:rPr>
          <w:rFonts w:ascii="Garamond" w:hAnsi="Garamond"/>
          <w:b/>
        </w:rPr>
        <w:t xml:space="preserve">Spending on </w:t>
      </w:r>
      <w:r w:rsidR="00B42460" w:rsidRPr="009622FC">
        <w:rPr>
          <w:rFonts w:ascii="Garamond" w:hAnsi="Garamond"/>
          <w:b/>
        </w:rPr>
        <w:t>Energy and Mineral Reso</w:t>
      </w:r>
      <w:r w:rsidR="00965437" w:rsidRPr="009622FC">
        <w:rPr>
          <w:rFonts w:ascii="Garamond" w:hAnsi="Garamond"/>
          <w:b/>
        </w:rPr>
        <w:t>urces (ESDM) Affairs</w:t>
      </w:r>
    </w:p>
    <w:p w:rsidR="00B42460" w:rsidRPr="009622FC" w:rsidRDefault="00B42460" w:rsidP="00B42460">
      <w:pPr>
        <w:jc w:val="both"/>
        <w:rPr>
          <w:rFonts w:ascii="Garamond" w:hAnsi="Garamond"/>
        </w:rPr>
      </w:pPr>
      <w:r w:rsidRPr="009622FC">
        <w:rPr>
          <w:rFonts w:ascii="Garamond" w:hAnsi="Garamond"/>
          <w:b/>
        </w:rPr>
        <w:t>The ESDM affairs expenditure is less than 2 percent, and its allocation is mostly for apparatus spending</w:t>
      </w:r>
      <w:r w:rsidRPr="009622FC">
        <w:rPr>
          <w:rFonts w:ascii="Garamond" w:hAnsi="Garamond"/>
        </w:rPr>
        <w:t>. In general, the average</w:t>
      </w:r>
      <w:r w:rsidR="003E6557">
        <w:rPr>
          <w:rFonts w:ascii="Garamond" w:hAnsi="Garamond"/>
        </w:rPr>
        <w:t xml:space="preserve"> ESDM affairs expenditure reali</w:t>
      </w:r>
      <w:r w:rsidR="003E6557">
        <w:rPr>
          <w:rFonts w:ascii="Garamond" w:hAnsi="Garamond"/>
          <w:lang w:val="en-US"/>
        </w:rPr>
        <w:t>s</w:t>
      </w:r>
      <w:r w:rsidRPr="009622FC">
        <w:rPr>
          <w:rFonts w:ascii="Garamond" w:hAnsi="Garamond"/>
        </w:rPr>
        <w:t>ation in 2009-2012 for the six research areas was allocated at only 1.2 percent of the total regional expenditure. On average, the districts of Musi Banyuasin, Musi Rawas and Bulungan allocated their spending for ESDM affairs between 2-3 percent during 2009-2011. Meanwhile, the districts of Berau, Sintang and Kubu Raya did not allocate more than 1 percent of their total regional expenditure to ESDM. Some of this minimal allocation was used to finance spending on apparatus for office administrative service programs, apparatus facilities and infrastructure improvement programs, apparatus discipline improvement programs, apparatus resource capacity-building programs, and programs for improving the performance and financial achievement of reporting systems. Almost every region had such a program, and their allocations continued to increase nominally for each year. The spending for ESDM affairs in the provinces was less than 0.5 percent of the regional expenditure during the period 2009-2012.</w:t>
      </w:r>
    </w:p>
    <w:p w:rsidR="00B42460" w:rsidRPr="00254E2D" w:rsidRDefault="00B42460" w:rsidP="00B42460">
      <w:pPr>
        <w:jc w:val="both"/>
        <w:rPr>
          <w:rFonts w:ascii="Garamond" w:hAnsi="Garamond"/>
          <w:lang w:val="en-US"/>
        </w:rPr>
      </w:pPr>
      <w:r w:rsidRPr="009622FC">
        <w:rPr>
          <w:rFonts w:ascii="Garamond" w:hAnsi="Garamond"/>
          <w:b/>
        </w:rPr>
        <w:t>Mining reclamation funds are not controlled</w:t>
      </w:r>
      <w:r w:rsidRPr="009622FC">
        <w:rPr>
          <w:rFonts w:ascii="Garamond" w:hAnsi="Garamond"/>
        </w:rPr>
        <w:t>. The post-mining reclamation guarantee fund is a fund guaranteed by companies to the regional government to perform reclamation after exploration and exploitation of the land. Based on the applicable provisions, this fund is kept outside of the local government budget (off budget), through joint accounts held by mining companies and local governments. Because the funds are held outside of the local government budget, they are not controlled by anyone, especially the public, and are not transparently managed. Field research also found that many companies do not comply with the regulations for these funds. Documents from the Indonesian Center for Environmental Law (ICEL)</w:t>
      </w:r>
      <w:r w:rsidRPr="009622FC">
        <w:rPr>
          <w:rFonts w:ascii="Garamond" w:hAnsi="Garamond"/>
          <w:vertAlign w:val="superscript"/>
          <w:lang w:val="en-US"/>
        </w:rPr>
        <w:footnoteReference w:id="58"/>
      </w:r>
      <w:r w:rsidRPr="009622FC">
        <w:rPr>
          <w:rFonts w:ascii="Garamond" w:hAnsi="Garamond"/>
        </w:rPr>
        <w:t xml:space="preserve"> show that more than 10 regions are involved in reclamation fund cases. Problems include failure to submit reclamation funds and documents, differences between company and government reports about the funds, and funds being overheld for many years. In addition, the Supreme Audit Agency (BPK) has found that local governments use the funds beyond their stated allocation.</w:t>
      </w:r>
    </w:p>
    <w:p w:rsidR="00B42460" w:rsidRPr="009622FC" w:rsidRDefault="00B42460" w:rsidP="00B42460">
      <w:pPr>
        <w:pStyle w:val="ListParagraph"/>
        <w:numPr>
          <w:ilvl w:val="0"/>
          <w:numId w:val="35"/>
        </w:numPr>
        <w:rPr>
          <w:rFonts w:ascii="Garamond" w:hAnsi="Garamond"/>
          <w:b/>
        </w:rPr>
      </w:pPr>
      <w:r w:rsidRPr="009622FC">
        <w:rPr>
          <w:rFonts w:ascii="Garamond" w:hAnsi="Garamond"/>
          <w:b/>
        </w:rPr>
        <w:t>Agricultural Affairs Expenditure</w:t>
      </w:r>
    </w:p>
    <w:p w:rsidR="00B42460" w:rsidRDefault="00B42460" w:rsidP="00B42460">
      <w:pPr>
        <w:jc w:val="both"/>
        <w:rPr>
          <w:rFonts w:ascii="Garamond" w:hAnsi="Garamond"/>
          <w:lang w:val="en-US"/>
        </w:rPr>
      </w:pPr>
      <w:r w:rsidRPr="009622FC">
        <w:rPr>
          <w:rFonts w:ascii="Garamond" w:hAnsi="Garamond"/>
          <w:b/>
        </w:rPr>
        <w:t>Agricultural affairs expenditure rea</w:t>
      </w:r>
      <w:r w:rsidR="005F5521" w:rsidRPr="009622FC">
        <w:rPr>
          <w:rFonts w:ascii="Garamond" w:hAnsi="Garamond"/>
          <w:b/>
        </w:rPr>
        <w:t>ched almost 3 percent, but tended</w:t>
      </w:r>
      <w:r w:rsidRPr="009622FC">
        <w:rPr>
          <w:rFonts w:ascii="Garamond" w:hAnsi="Garamond"/>
          <w:b/>
        </w:rPr>
        <w:t xml:space="preserve"> to</w:t>
      </w:r>
      <w:r w:rsidR="005F5521" w:rsidRPr="009622FC">
        <w:rPr>
          <w:rFonts w:ascii="Garamond" w:hAnsi="Garamond"/>
          <w:b/>
        </w:rPr>
        <w:t xml:space="preserve"> </w:t>
      </w:r>
      <w:r w:rsidRPr="009622FC">
        <w:rPr>
          <w:rFonts w:ascii="Garamond" w:hAnsi="Garamond"/>
          <w:b/>
        </w:rPr>
        <w:t>decreas</w:t>
      </w:r>
      <w:r w:rsidR="005F5521" w:rsidRPr="009622FC">
        <w:rPr>
          <w:rFonts w:ascii="Garamond" w:hAnsi="Garamond"/>
          <w:b/>
        </w:rPr>
        <w:t>e</w:t>
      </w:r>
      <w:r w:rsidRPr="009622FC">
        <w:rPr>
          <w:rFonts w:ascii="Garamond" w:hAnsi="Garamond"/>
        </w:rPr>
        <w:t>. The spending in this sector is the highest among other sectors related to land and forest governance. In general, the average agri</w:t>
      </w:r>
      <w:r w:rsidR="003E6557">
        <w:rPr>
          <w:rFonts w:ascii="Garamond" w:hAnsi="Garamond"/>
        </w:rPr>
        <w:t>cultural affairs spending reali</w:t>
      </w:r>
      <w:r w:rsidR="003E6557">
        <w:rPr>
          <w:rFonts w:ascii="Garamond" w:hAnsi="Garamond"/>
          <w:lang w:val="en-US"/>
        </w:rPr>
        <w:t>s</w:t>
      </w:r>
      <w:r w:rsidRPr="009622FC">
        <w:rPr>
          <w:rFonts w:ascii="Garamond" w:hAnsi="Garamond"/>
        </w:rPr>
        <w:t>ation for 2009-2012 in the six research areas was 2.8 percent. On average, the lowest agricultural affairs spending</w:t>
      </w:r>
      <w:r w:rsidR="005F5521" w:rsidRPr="009622FC">
        <w:rPr>
          <w:rFonts w:ascii="Garamond" w:hAnsi="Garamond"/>
        </w:rPr>
        <w:t>,</w:t>
      </w:r>
      <w:r w:rsidRPr="009622FC">
        <w:rPr>
          <w:rFonts w:ascii="Garamond" w:hAnsi="Garamond"/>
        </w:rPr>
        <w:t xml:space="preserve"> in South Sumatra province</w:t>
      </w:r>
      <w:r w:rsidR="005F5521" w:rsidRPr="009622FC">
        <w:rPr>
          <w:rFonts w:ascii="Garamond" w:hAnsi="Garamond"/>
        </w:rPr>
        <w:t>,</w:t>
      </w:r>
      <w:r w:rsidRPr="009622FC">
        <w:rPr>
          <w:rFonts w:ascii="Garamond" w:hAnsi="Garamond"/>
        </w:rPr>
        <w:t xml:space="preserve"> was 3 percen</w:t>
      </w:r>
      <w:r w:rsidR="005F5521" w:rsidRPr="009622FC">
        <w:rPr>
          <w:rFonts w:ascii="Garamond" w:hAnsi="Garamond"/>
        </w:rPr>
        <w:t>t. Musi Banyuasin district looked</w:t>
      </w:r>
      <w:r w:rsidRPr="009622FC">
        <w:rPr>
          <w:rFonts w:ascii="Garamond" w:hAnsi="Garamond"/>
        </w:rPr>
        <w:t xml:space="preserve"> stagnant, while Musi Rawas district’s last three allo</w:t>
      </w:r>
      <w:r w:rsidR="005F5521" w:rsidRPr="009622FC">
        <w:rPr>
          <w:rFonts w:ascii="Garamond" w:hAnsi="Garamond"/>
        </w:rPr>
        <w:t>cations showed a tendency to decrease</w:t>
      </w:r>
      <w:r w:rsidRPr="009622FC">
        <w:rPr>
          <w:rFonts w:ascii="Garamond" w:hAnsi="Garamond"/>
        </w:rPr>
        <w:t xml:space="preserve">. </w:t>
      </w:r>
    </w:p>
    <w:p w:rsidR="00254E2D" w:rsidRDefault="00254E2D" w:rsidP="00B42460">
      <w:pPr>
        <w:jc w:val="both"/>
        <w:rPr>
          <w:rFonts w:ascii="Garamond" w:hAnsi="Garamond"/>
          <w:lang w:val="en-US"/>
        </w:rPr>
      </w:pPr>
    </w:p>
    <w:p w:rsidR="00254E2D" w:rsidRPr="00254E2D" w:rsidRDefault="00254E2D" w:rsidP="00B42460">
      <w:pPr>
        <w:jc w:val="both"/>
        <w:rPr>
          <w:rFonts w:ascii="Garamond" w:hAnsi="Garamond"/>
          <w:lang w:val="en-US"/>
        </w:rPr>
      </w:pPr>
    </w:p>
    <w:p w:rsidR="00B42460" w:rsidRPr="009622FC" w:rsidRDefault="00273E5C" w:rsidP="00B42460">
      <w:pPr>
        <w:jc w:val="center"/>
        <w:rPr>
          <w:rFonts w:ascii="Garamond" w:hAnsi="Garamond"/>
          <w:b/>
        </w:rPr>
      </w:pPr>
      <w:r w:rsidRPr="009622FC">
        <w:rPr>
          <w:rFonts w:ascii="Garamond" w:hAnsi="Garamond"/>
          <w:b/>
        </w:rPr>
        <w:lastRenderedPageBreak/>
        <w:t>Graphic</w:t>
      </w:r>
      <w:r w:rsidR="00E67585" w:rsidRPr="009622FC">
        <w:rPr>
          <w:rFonts w:ascii="Garamond" w:hAnsi="Garamond"/>
          <w:b/>
        </w:rPr>
        <w:t xml:space="preserve"> 3.26 </w:t>
      </w:r>
      <w:r w:rsidR="00B42460" w:rsidRPr="009622FC">
        <w:rPr>
          <w:rFonts w:ascii="Garamond" w:hAnsi="Garamond"/>
          <w:b/>
        </w:rPr>
        <w:t>Expenditure on Agriculture Affairs, 2009-2011</w:t>
      </w:r>
    </w:p>
    <w:p w:rsidR="00B42460" w:rsidRPr="009622FC" w:rsidRDefault="00805913" w:rsidP="00B42460">
      <w:pPr>
        <w:jc w:val="center"/>
        <w:rPr>
          <w:rFonts w:ascii="Garamond" w:hAnsi="Garamond"/>
          <w:b/>
          <w:lang w:val="en-US"/>
        </w:rPr>
      </w:pPr>
      <w:r w:rsidRPr="009622FC">
        <w:rPr>
          <w:rFonts w:ascii="Garamond" w:hAnsi="Garamond"/>
          <w:b/>
          <w:noProof/>
          <w:lang w:val="en-US" w:eastAsia="en-US" w:bidi="ar-SA"/>
        </w:rPr>
        <w:drawing>
          <wp:inline distT="0" distB="0" distL="0" distR="0">
            <wp:extent cx="5224519" cy="2504111"/>
            <wp:effectExtent l="11604" t="5409" r="5802" b="0"/>
            <wp:docPr id="28" name="C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42460" w:rsidRPr="009622FC" w:rsidRDefault="00B42460" w:rsidP="00B42460">
      <w:pPr>
        <w:jc w:val="both"/>
        <w:rPr>
          <w:rFonts w:ascii="Garamond" w:hAnsi="Garamond"/>
          <w:bCs/>
          <w:noProof/>
          <w:lang w:val="en-US"/>
        </w:rPr>
      </w:pPr>
      <w:r w:rsidRPr="009622FC">
        <w:rPr>
          <w:rFonts w:ascii="Garamond" w:hAnsi="Garamond"/>
        </w:rPr>
        <w:t>In Sintang district, agricultural affairs spending is fluctuating. It rose in 2010, decline</w:t>
      </w:r>
      <w:r w:rsidR="00CE3F09" w:rsidRPr="009622FC">
        <w:rPr>
          <w:rFonts w:ascii="Garamond" w:hAnsi="Garamond"/>
        </w:rPr>
        <w:t>d in 2011, and was planned to r</w:t>
      </w:r>
      <w:r w:rsidRPr="009622FC">
        <w:rPr>
          <w:rFonts w:ascii="Garamond" w:hAnsi="Garamond"/>
        </w:rPr>
        <w:t>ise again in 2012. Kubu Raya district was the only region where the trend was consistently</w:t>
      </w:r>
      <w:r w:rsidR="003E6557">
        <w:rPr>
          <w:rFonts w:ascii="Garamond" w:hAnsi="Garamond"/>
        </w:rPr>
        <w:t xml:space="preserve"> increasing. In 2009, its reali</w:t>
      </w:r>
      <w:r w:rsidR="003E6557">
        <w:rPr>
          <w:rFonts w:ascii="Garamond" w:hAnsi="Garamond"/>
          <w:lang w:val="en-US"/>
        </w:rPr>
        <w:t>s</w:t>
      </w:r>
      <w:r w:rsidRPr="009622FC">
        <w:rPr>
          <w:rFonts w:ascii="Garamond" w:hAnsi="Garamond"/>
        </w:rPr>
        <w:t>ation was only 1.4 percent, which increased to 3.1 percent in 2010, increased again in 2011 to 3.3 percent, and was planned to increase further in 2012 to 3.6 percent. This increase in expenditure allocation was because the ‘food estate’</w:t>
      </w:r>
      <w:r w:rsidRPr="009622FC">
        <w:rPr>
          <w:rFonts w:ascii="Garamond" w:hAnsi="Garamond"/>
          <w:i/>
        </w:rPr>
        <w:t xml:space="preserve"> </w:t>
      </w:r>
      <w:r w:rsidRPr="009622FC">
        <w:rPr>
          <w:rStyle w:val="FootnoteReference"/>
          <w:rFonts w:ascii="Garamond" w:hAnsi="Garamond"/>
          <w:lang w:val="en-US"/>
        </w:rPr>
        <w:footnoteReference w:id="59"/>
      </w:r>
      <w:r w:rsidRPr="009622FC">
        <w:rPr>
          <w:rFonts w:ascii="Garamond" w:hAnsi="Garamond"/>
        </w:rPr>
        <w:t xml:space="preserve"> program was a priority program for young district head Mahendrawan. </w:t>
      </w:r>
    </w:p>
    <w:p w:rsidR="00B42460" w:rsidRPr="009622FC" w:rsidRDefault="00B42460" w:rsidP="00B42460">
      <w:pPr>
        <w:jc w:val="both"/>
        <w:rPr>
          <w:rFonts w:ascii="Garamond" w:hAnsi="Garamond"/>
          <w:bCs/>
          <w:noProof/>
          <w:lang w:val="en-US"/>
        </w:rPr>
      </w:pPr>
      <w:r w:rsidRPr="009622FC">
        <w:rPr>
          <w:rFonts w:ascii="Garamond" w:hAnsi="Garamond"/>
          <w:bCs/>
        </w:rPr>
        <w:t xml:space="preserve">Meanwhile, in Berau district the trend is also decreasing. Starting at 2.6 percent in 2009, it fell to 1.5 percent in 2011, and only in 2012 was planned to increase to 3.1 percent. In </w:t>
      </w:r>
      <w:r w:rsidRPr="009622FC">
        <w:rPr>
          <w:rFonts w:ascii="Garamond" w:hAnsi="Garamond"/>
        </w:rPr>
        <w:t>Bulungan</w:t>
      </w:r>
      <w:r w:rsidRPr="009622FC">
        <w:rPr>
          <w:rFonts w:ascii="Garamond" w:hAnsi="Garamond"/>
          <w:bCs/>
        </w:rPr>
        <w:t xml:space="preserve"> district, an increase, though insignificant, was planned to rise from 1.2 percent in 2010 to 1.8 percent in 2012.</w:t>
      </w:r>
    </w:p>
    <w:p w:rsidR="00B42460" w:rsidRPr="009622FC" w:rsidRDefault="00B42460" w:rsidP="00B42460">
      <w:pPr>
        <w:jc w:val="both"/>
        <w:rPr>
          <w:rFonts w:ascii="Garamond" w:hAnsi="Garamond"/>
          <w:lang w:val="en-US"/>
        </w:rPr>
      </w:pPr>
      <w:r w:rsidRPr="009622FC">
        <w:rPr>
          <w:rFonts w:ascii="Garamond" w:hAnsi="Garamond"/>
          <w:bCs/>
        </w:rPr>
        <w:t>The expenditure proportion for agricultural affairs in West Kalimantan province was the highest, and increased during 2009-2012 from Rp 69 billion, or 4.2 percent, to Rp 185 billion, or 6.4 percent of the total regional expenditure. A total of Rp 44.5 billion, or 45.9 percent of the total expenditure of agriculture office in 2012 in West Kalimantan province was allocated for programs to improve production, productivity and food crop quality for the goal of self-sufficiency. Such an increase was expected to occur due to the ‘food estate’</w:t>
      </w:r>
      <w:r w:rsidRPr="009622FC">
        <w:rPr>
          <w:rFonts w:ascii="Garamond" w:hAnsi="Garamond"/>
          <w:bCs/>
          <w:i/>
        </w:rPr>
        <w:t xml:space="preserve"> </w:t>
      </w:r>
      <w:r w:rsidRPr="009622FC">
        <w:rPr>
          <w:rFonts w:ascii="Garamond" w:hAnsi="Garamond"/>
          <w:bCs/>
        </w:rPr>
        <w:t>program promoted by the governor in the district’s RPJMD as a priority program. On the other hand, the ‘food estate’ project is part of the Master Plan for the Acceleration and Expansion of Indonesia’s Economic Development (MP3EI) and the Kalimantan Economic Corridor; in other words, West Kalimantan province is still commited to the plan and follows this up with budget allocation. In the meantime, agricultural affairs expenditure budgets in East Kalimantan and South Sumatra increased nominally, yet in terms of its proportion, declined. South Sumatra declined from 3.1 percent to 2.2 percent, and East Kalimantan from 2.3 percent to 1.7 percent.</w:t>
      </w:r>
      <w:r w:rsidRPr="009622FC">
        <w:rPr>
          <w:rFonts w:ascii="Garamond" w:hAnsi="Garamond"/>
        </w:rPr>
        <w:t xml:space="preserve"> </w:t>
      </w:r>
    </w:p>
    <w:p w:rsidR="00B42460" w:rsidRPr="009622FC" w:rsidRDefault="00325726" w:rsidP="00B42460">
      <w:pPr>
        <w:jc w:val="both"/>
        <w:rPr>
          <w:rFonts w:ascii="Garamond" w:hAnsi="Garamond"/>
          <w:bCs/>
          <w:noProof/>
          <w:lang w:val="en-US"/>
        </w:rPr>
      </w:pPr>
      <w:r w:rsidRPr="00325726">
        <w:rPr>
          <w:rFonts w:ascii="Garamond" w:hAnsi="Garamond"/>
          <w:noProof/>
          <w:lang w:val="en-US" w:eastAsia="en-US" w:bidi="ar-SA"/>
        </w:rPr>
        <w:lastRenderedPageBreak/>
        <w:pict>
          <v:shape id="_x0000_s1031" type="#_x0000_t202" style="position:absolute;left:0;text-align:left;margin-left:-1.85pt;margin-top:10.05pt;width:451.15pt;height:260.25pt;z-index:-251655168;visibility:visible;mso-wrap-distance-top:3.6pt;mso-wrap-distance-bottom:3.6pt;mso-position-horizontal-relative:margin;mso-width-relative:margin;mso-height-relative:margin" wrapcoords="-36 -62 -36 21538 21636 21538 21636 -62 -36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f7JQIAAEw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">
            <v:textbox>
              <w:txbxContent>
                <w:p w:rsidR="005E5906" w:rsidRPr="00875D08" w:rsidRDefault="005E5906" w:rsidP="00254E2D">
                  <w:pPr>
                    <w:jc w:val="center"/>
                    <w:rPr>
                      <w:b/>
                      <w:lang w:val="en-US"/>
                    </w:rPr>
                  </w:pPr>
                  <w:r>
                    <w:rPr>
                      <w:b/>
                      <w:lang w:val="en-US"/>
                    </w:rPr>
                    <w:t>Box</w:t>
                  </w:r>
                  <w:r>
                    <w:rPr>
                      <w:b/>
                    </w:rPr>
                    <w:t xml:space="preserve"> 3.5 Food Estate</w:t>
                  </w:r>
                  <w:r w:rsidRPr="00875D08">
                    <w:rPr>
                      <w:b/>
                      <w:lang w:val="en-US"/>
                    </w:rPr>
                    <w:t xml:space="preserve"> Program </w:t>
                  </w:r>
                  <w:r>
                    <w:rPr>
                      <w:b/>
                      <w:lang w:val="en-US"/>
                    </w:rPr>
                    <w:t>in West</w:t>
                  </w:r>
                  <w:r w:rsidRPr="00086473">
                    <w:rPr>
                      <w:b/>
                      <w:lang w:val="en-US"/>
                    </w:rPr>
                    <w:t xml:space="preserve"> </w:t>
                  </w:r>
                  <w:r>
                    <w:rPr>
                      <w:b/>
                      <w:lang w:val="en-US"/>
                    </w:rPr>
                    <w:t>Kalimantan</w:t>
                  </w:r>
                </w:p>
                <w:p w:rsidR="005E5906" w:rsidRDefault="005E5906" w:rsidP="00254E2D">
                  <w:pPr>
                    <w:rPr>
                      <w:bCs/>
                      <w:noProof/>
                      <w:sz w:val="20"/>
                    </w:rPr>
                  </w:pPr>
                  <w:r>
                    <w:rPr>
                      <w:bCs/>
                      <w:noProof/>
                      <w:sz w:val="20"/>
                    </w:rPr>
                    <w:t>The province of West</w:t>
                  </w:r>
                  <w:r w:rsidRPr="00835B97">
                    <w:rPr>
                      <w:bCs/>
                      <w:noProof/>
                      <w:sz w:val="20"/>
                    </w:rPr>
                    <w:t xml:space="preserve"> Kalimantan </w:t>
                  </w:r>
                  <w:r>
                    <w:rPr>
                      <w:bCs/>
                      <w:noProof/>
                      <w:sz w:val="20"/>
                    </w:rPr>
                    <w:t>continues to trigger an increase in production of food, especially rice, used to realize the equatorial province’s ambition of becoming a national food warehouse. A big step in that direction started since 2011, among other things by pioneering the development of modern agricultural industry based on agribusiness, known as the food estate program, in 13 districts. The development of food estates is done via two programs, including the opening of 150,000 Ha of new rice fields and optimizing 100,000 Ha of land.</w:t>
                  </w:r>
                </w:p>
                <w:p w:rsidR="005E5906" w:rsidRDefault="005E5906" w:rsidP="00254E2D">
                  <w:pPr>
                    <w:rPr>
                      <w:bCs/>
                      <w:noProof/>
                      <w:sz w:val="20"/>
                    </w:rPr>
                  </w:pPr>
                  <w:r>
                    <w:rPr>
                      <w:bCs/>
                      <w:noProof/>
                      <w:sz w:val="20"/>
                    </w:rPr>
                    <w:t>The district of Kubu raya is one of the “food warehouses” in West Kalimantan that has been developing the “food estate” program over the past few years. In 2013, the district targeted opening an area of no less than 3,500 Ha of rice fields. From 2009 to 2012, this district had already opened more than 2,200 Ha of new rice fields. Until today, the rice surplus in the district continues to increase, in 2012 reaching 45,500 tons. With productivity levels of 3.5 tons/Ha over several years (the highest in West Kalimantan), and the opening of 3,500 Ha of new rice fields in 2012, the district of Kubu Raya is a center of rice production for West Kalimantan and of increasing importance to the nation.</w:t>
                  </w:r>
                </w:p>
                <w:p w:rsidR="005E5906" w:rsidRDefault="005E5906" w:rsidP="00254E2D">
                  <w:pPr>
                    <w:rPr>
                      <w:color w:val="000000"/>
                    </w:rPr>
                  </w:pPr>
                  <w:r>
                    <w:rPr>
                      <w:bCs/>
                      <w:color w:val="000000"/>
                      <w:sz w:val="20"/>
                      <w:szCs w:val="20"/>
                    </w:rPr>
                    <w:t>News Source</w:t>
                  </w:r>
                  <w:r w:rsidRPr="005F5CEF">
                    <w:rPr>
                      <w:bCs/>
                      <w:color w:val="000000"/>
                      <w:sz w:val="20"/>
                      <w:szCs w:val="20"/>
                    </w:rPr>
                    <w:t xml:space="preserve">: </w:t>
                  </w:r>
                  <w:hyperlink r:id="rId49" w:history="1">
                    <w:r w:rsidRPr="005F5CEF">
                      <w:rPr>
                        <w:rStyle w:val="Hyperlink"/>
                        <w:bCs/>
                        <w:sz w:val="20"/>
                        <w:szCs w:val="20"/>
                      </w:rPr>
                      <w:t>http://tanamanpangan.deptan.go.id</w:t>
                    </w:r>
                  </w:hyperlink>
                  <w:r>
                    <w:rPr>
                      <w:bCs/>
                      <w:color w:val="000000"/>
                      <w:sz w:val="20"/>
                      <w:szCs w:val="20"/>
                      <w:lang w:val="en-US"/>
                    </w:rPr>
                    <w:t xml:space="preserve">, </w:t>
                  </w:r>
                  <w:hyperlink r:id="rId50" w:anchor="ixzz2mnmac97C" w:history="1">
                    <w:r w:rsidRPr="005F5CEF">
                      <w:rPr>
                        <w:rStyle w:val="Hyperlink"/>
                        <w:color w:val="003399"/>
                        <w:sz w:val="20"/>
                        <w:szCs w:val="20"/>
                      </w:rPr>
                      <w:t>http://pusdatin.setjen.deptan.go.id/ditjentp/berita-cetak-ribuan-hektar-sawah-baru-kalbar-percepat-pengembangan-food-estate.html#ixzz2mnmac97C</w:t>
                    </w:r>
                  </w:hyperlink>
                </w:p>
                <w:p w:rsidR="005E5906" w:rsidRPr="00875D08" w:rsidRDefault="005E5906" w:rsidP="00254E2D">
                  <w:pPr>
                    <w:jc w:val="center"/>
                    <w:rPr>
                      <w:i/>
                      <w:lang w:val="en-US"/>
                    </w:rPr>
                  </w:pPr>
                </w:p>
              </w:txbxContent>
            </v:textbox>
            <w10:wrap type="tight" anchorx="margin"/>
          </v:shape>
        </w:pict>
      </w:r>
    </w:p>
    <w:p w:rsidR="00B42460" w:rsidRPr="009622FC" w:rsidRDefault="00B42460" w:rsidP="00B42460">
      <w:pPr>
        <w:rPr>
          <w:rFonts w:ascii="Garamond" w:hAnsi="Garamond"/>
          <w:b/>
          <w:u w:val="single"/>
          <w:lang w:val="en-US"/>
        </w:rPr>
      </w:pPr>
      <w:r w:rsidRPr="009622FC">
        <w:rPr>
          <w:rFonts w:ascii="Garamond" w:hAnsi="Garamond"/>
          <w:b/>
          <w:u w:val="single"/>
        </w:rPr>
        <w:t>3.5 Regional Financing and Fiscal Space</w:t>
      </w:r>
    </w:p>
    <w:p w:rsidR="00B42460" w:rsidRPr="009622FC" w:rsidRDefault="00B42460" w:rsidP="00B42460">
      <w:pPr>
        <w:jc w:val="both"/>
        <w:rPr>
          <w:rFonts w:ascii="Garamond" w:hAnsi="Garamond"/>
        </w:rPr>
      </w:pPr>
      <w:r w:rsidRPr="009622FC">
        <w:rPr>
          <w:rFonts w:ascii="Garamond" w:hAnsi="Garamond"/>
          <w:bCs/>
        </w:rPr>
        <w:t>Regional financing is a transaction aimed at covering the difference between regional revenue and regional expenditure. If the regional revenue is smaller than the regional expenditure then a deficit transaction occurs, and should be covered by the revenue. If the regional revenue is greater than the regional expenditure, then a surplus financial transaction occurs, and should be used for the regional financing expenditure. Therefore, regional financing consists of regional financing revenue and financing expenditure.</w:t>
      </w:r>
      <w:r w:rsidR="003E6557">
        <w:rPr>
          <w:rFonts w:ascii="Garamond" w:hAnsi="Garamond"/>
          <w:bCs/>
        </w:rPr>
        <w:t xml:space="preserve"> Its significance is that analy</w:t>
      </w:r>
      <w:r w:rsidR="003E6557">
        <w:rPr>
          <w:rFonts w:ascii="Garamond" w:hAnsi="Garamond"/>
          <w:bCs/>
          <w:lang w:val="en-US"/>
        </w:rPr>
        <w:t>s</w:t>
      </w:r>
      <w:r w:rsidRPr="009622FC">
        <w:rPr>
          <w:rFonts w:ascii="Garamond" w:hAnsi="Garamond"/>
          <w:bCs/>
        </w:rPr>
        <w:t>ing the financing enables one to discover the financing pattern in regional finance and what sources the regional government can use when a budget deficit occurs.</w:t>
      </w:r>
    </w:p>
    <w:p w:rsidR="00B42460" w:rsidRDefault="00B42460" w:rsidP="00B42460">
      <w:pPr>
        <w:jc w:val="both"/>
        <w:rPr>
          <w:rFonts w:ascii="Garamond" w:hAnsi="Garamond"/>
          <w:lang w:val="en-US"/>
        </w:rPr>
      </w:pPr>
      <w:r w:rsidRPr="009622FC">
        <w:rPr>
          <w:rFonts w:ascii="Garamond" w:hAnsi="Garamond"/>
          <w:b/>
        </w:rPr>
        <w:t>The APBD is planned to be in deficit, but in reality, it is in surplus.</w:t>
      </w:r>
      <w:r w:rsidRPr="009622FC">
        <w:rPr>
          <w:rFonts w:ascii="Garamond" w:hAnsi="Garamond"/>
        </w:rPr>
        <w:t xml:space="preserve"> The government policy to plan a budget deficit has been the cause of much controversy. Many economists hold the opinion that a government budget deficit may harm the economy. In general, a deficit occurs when the macro-economy enters a recessive phase. However, this study found that despite the absence of this declining macro-economy, regional governments tend to plan a deficit APBD on inef</w:t>
      </w:r>
      <w:r w:rsidR="003E6557">
        <w:rPr>
          <w:rFonts w:ascii="Garamond" w:hAnsi="Garamond"/>
        </w:rPr>
        <w:t>ficient spending and unoptimi</w:t>
      </w:r>
      <w:r w:rsidR="003E6557">
        <w:rPr>
          <w:rFonts w:ascii="Garamond" w:hAnsi="Garamond"/>
          <w:lang w:val="en-US"/>
        </w:rPr>
        <w:t>s</w:t>
      </w:r>
      <w:r w:rsidRPr="009622FC">
        <w:rPr>
          <w:rFonts w:ascii="Garamond" w:hAnsi="Garamond"/>
        </w:rPr>
        <w:t xml:space="preserve">ed revenue practice in the budget establishment (APBD-Original). Such a pattern, as can be seen in the </w:t>
      </w:r>
      <w:r w:rsidR="00273E5C" w:rsidRPr="009622FC">
        <w:rPr>
          <w:rFonts w:ascii="Garamond" w:hAnsi="Garamond"/>
        </w:rPr>
        <w:t>Graphic</w:t>
      </w:r>
      <w:r w:rsidRPr="009622FC">
        <w:rPr>
          <w:rFonts w:ascii="Garamond" w:hAnsi="Garamond"/>
        </w:rPr>
        <w:t xml:space="preserve"> above, shows that almost every year the regional government plans a budget d</w:t>
      </w:r>
      <w:r w:rsidR="003E6557">
        <w:rPr>
          <w:rFonts w:ascii="Garamond" w:hAnsi="Garamond"/>
        </w:rPr>
        <w:t>eficit, while in fact its reali</w:t>
      </w:r>
      <w:r w:rsidR="003E6557">
        <w:rPr>
          <w:rFonts w:ascii="Garamond" w:hAnsi="Garamond"/>
          <w:lang w:val="en-US"/>
        </w:rPr>
        <w:t>s</w:t>
      </w:r>
      <w:r w:rsidRPr="009622FC">
        <w:rPr>
          <w:rFonts w:ascii="Garamond" w:hAnsi="Garamond"/>
        </w:rPr>
        <w:t>ation is always surplus. In East Kalimantan, the deficit of 2011 was planned (APBD-M) to reach to Rp808</w:t>
      </w:r>
      <w:r w:rsidR="003E6557">
        <w:rPr>
          <w:rFonts w:ascii="Garamond" w:hAnsi="Garamond"/>
        </w:rPr>
        <w:t xml:space="preserve"> billion, yet in the APBD-Reali</w:t>
      </w:r>
      <w:r w:rsidR="003E6557">
        <w:rPr>
          <w:rFonts w:ascii="Garamond" w:hAnsi="Garamond"/>
          <w:lang w:val="en-US"/>
        </w:rPr>
        <w:t>s</w:t>
      </w:r>
      <w:r w:rsidRPr="009622FC">
        <w:rPr>
          <w:rFonts w:ascii="Garamond" w:hAnsi="Garamond"/>
        </w:rPr>
        <w:t xml:space="preserve">ation (APBD-R) it was found to show a surplus of Rp1.67 trillion. </w:t>
      </w:r>
      <w:r w:rsidRPr="009622FC">
        <w:rPr>
          <w:rFonts w:ascii="Garamond" w:hAnsi="Garamond"/>
          <w:bCs/>
        </w:rPr>
        <w:t>West Kalimantan and South Sumatra were just the same, even though nominally the difference was not as great as in East</w:t>
      </w:r>
      <w:r w:rsidRPr="009622FC">
        <w:rPr>
          <w:rFonts w:ascii="Garamond" w:hAnsi="Garamond"/>
        </w:rPr>
        <w:t xml:space="preserve"> Kalimantan. The three provinces rely on an overall budget surplus (SiLPA) from the previous year. Ironically, the deficit covered with the remainder of l</w:t>
      </w:r>
      <w:r w:rsidR="003E6557">
        <w:rPr>
          <w:rFonts w:ascii="Garamond" w:hAnsi="Garamond"/>
        </w:rPr>
        <w:t>ast year’s budget, in its reali</w:t>
      </w:r>
      <w:r w:rsidR="003E6557">
        <w:rPr>
          <w:rFonts w:ascii="Garamond" w:hAnsi="Garamond"/>
          <w:lang w:val="en-US"/>
        </w:rPr>
        <w:t>s</w:t>
      </w:r>
      <w:r w:rsidRPr="009622FC">
        <w:rPr>
          <w:rFonts w:ascii="Garamond" w:hAnsi="Garamond"/>
        </w:rPr>
        <w:t>ation, leaves a significant amount of money in the current year's SiLPA. At a national level, the establishment of a budget deficit in Kalimantan</w:t>
      </w:r>
      <w:r w:rsidRPr="009622FC">
        <w:rPr>
          <w:rFonts w:ascii="Garamond" w:hAnsi="Garamond" w:cs="Calibri"/>
          <w:vertAlign w:val="superscript"/>
        </w:rPr>
        <w:footnoteReference w:id="60"/>
      </w:r>
      <w:r w:rsidRPr="009622FC">
        <w:rPr>
          <w:rFonts w:ascii="Garamond" w:hAnsi="Garamond"/>
        </w:rPr>
        <w:t xml:space="preserve"> in the stipulation of the 2011 APBD-Original (APBD-O) was the highest among the regions, reaching -12.2 percent of the regional revenue.</w:t>
      </w:r>
    </w:p>
    <w:p w:rsidR="00254E2D" w:rsidRDefault="00254E2D" w:rsidP="00B42460">
      <w:pPr>
        <w:jc w:val="both"/>
        <w:rPr>
          <w:rFonts w:ascii="Garamond" w:hAnsi="Garamond"/>
          <w:lang w:val="en-US"/>
        </w:rPr>
      </w:pPr>
    </w:p>
    <w:p w:rsidR="00254E2D" w:rsidRPr="00254E2D" w:rsidRDefault="00254E2D" w:rsidP="00B42460">
      <w:pPr>
        <w:jc w:val="both"/>
        <w:rPr>
          <w:rFonts w:ascii="Garamond" w:hAnsi="Garamond"/>
          <w:lang w:val="en-US"/>
        </w:rPr>
      </w:pPr>
    </w:p>
    <w:p w:rsidR="00B42460" w:rsidRPr="009622FC" w:rsidRDefault="00273E5C" w:rsidP="00B42460">
      <w:pPr>
        <w:jc w:val="center"/>
        <w:rPr>
          <w:rFonts w:ascii="Garamond" w:hAnsi="Garamond"/>
          <w:b/>
        </w:rPr>
      </w:pPr>
      <w:r w:rsidRPr="009622FC">
        <w:rPr>
          <w:rFonts w:ascii="Garamond" w:hAnsi="Garamond"/>
          <w:b/>
        </w:rPr>
        <w:lastRenderedPageBreak/>
        <w:t>Graphic</w:t>
      </w:r>
      <w:r w:rsidR="008E3691" w:rsidRPr="009622FC">
        <w:rPr>
          <w:rFonts w:ascii="Garamond" w:hAnsi="Garamond"/>
          <w:b/>
        </w:rPr>
        <w:t xml:space="preserve"> 3.27 </w:t>
      </w:r>
      <w:r w:rsidR="00B42460" w:rsidRPr="009622FC">
        <w:rPr>
          <w:rFonts w:ascii="Garamond" w:hAnsi="Garamond"/>
          <w:b/>
        </w:rPr>
        <w:t>Provincial Surplus/Deficit 2009-2012</w:t>
      </w:r>
    </w:p>
    <w:p w:rsidR="00B42460" w:rsidRPr="00D018C6" w:rsidRDefault="00805913" w:rsidP="00D018C6">
      <w:pPr>
        <w:jc w:val="center"/>
        <w:rPr>
          <w:rFonts w:ascii="Garamond" w:hAnsi="Garamond"/>
          <w:b/>
          <w:lang w:val="en-US"/>
        </w:rPr>
      </w:pPr>
      <w:r w:rsidRPr="009622FC">
        <w:rPr>
          <w:rFonts w:ascii="Garamond" w:hAnsi="Garamond"/>
          <w:b/>
          <w:noProof/>
          <w:lang w:val="en-US" w:eastAsia="en-US" w:bidi="ar-SA"/>
        </w:rPr>
        <w:drawing>
          <wp:inline distT="0" distB="0" distL="0" distR="0">
            <wp:extent cx="5340970" cy="2287257"/>
            <wp:effectExtent l="25400" t="25400" r="18430" b="0"/>
            <wp:docPr id="29" name="C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42460" w:rsidRPr="009622FC" w:rsidRDefault="00B42460" w:rsidP="00B42460">
      <w:pPr>
        <w:jc w:val="both"/>
        <w:rPr>
          <w:rFonts w:ascii="Garamond" w:hAnsi="Garamond"/>
        </w:rPr>
      </w:pPr>
      <w:r w:rsidRPr="009622FC">
        <w:rPr>
          <w:rFonts w:ascii="Garamond" w:hAnsi="Garamond"/>
          <w:b/>
        </w:rPr>
        <w:t xml:space="preserve">The significant remainder of the budget should be used for financing the rehabilitation of environmental damage. </w:t>
      </w:r>
      <w:r w:rsidRPr="009622FC">
        <w:rPr>
          <w:rFonts w:ascii="Garamond" w:hAnsi="Garamond"/>
        </w:rPr>
        <w:t>All regions in the study sites have huge SiLPAs, particularly East Kalimantan. The low regional revenue projection wit</w:t>
      </w:r>
      <w:r w:rsidR="003E6557">
        <w:rPr>
          <w:rFonts w:ascii="Garamond" w:hAnsi="Garamond"/>
        </w:rPr>
        <w:t>h its surprisingly higher reali</w:t>
      </w:r>
      <w:r w:rsidR="003E6557">
        <w:rPr>
          <w:rFonts w:ascii="Garamond" w:hAnsi="Garamond"/>
          <w:lang w:val="en-US"/>
        </w:rPr>
        <w:t>s</w:t>
      </w:r>
      <w:r w:rsidRPr="009622FC">
        <w:rPr>
          <w:rFonts w:ascii="Garamond" w:hAnsi="Garamond"/>
        </w:rPr>
        <w:t xml:space="preserve">ation, and the regional </w:t>
      </w:r>
      <w:r w:rsidRPr="009622FC">
        <w:rPr>
          <w:rFonts w:ascii="Garamond" w:hAnsi="Garamond"/>
          <w:bCs/>
        </w:rPr>
        <w:t>expenditure</w:t>
      </w:r>
      <w:r w:rsidRPr="009622FC">
        <w:rPr>
          <w:rFonts w:ascii="Garamond" w:hAnsi="Garamond"/>
        </w:rPr>
        <w:t xml:space="preserve"> initially planned to b</w:t>
      </w:r>
      <w:r w:rsidR="003E6557">
        <w:rPr>
          <w:rFonts w:ascii="Garamond" w:hAnsi="Garamond"/>
        </w:rPr>
        <w:t>e higher with most of its reali</w:t>
      </w:r>
      <w:r w:rsidR="003E6557">
        <w:rPr>
          <w:rFonts w:ascii="Garamond" w:hAnsi="Garamond"/>
          <w:lang w:val="en-US"/>
        </w:rPr>
        <w:t>s</w:t>
      </w:r>
      <w:r w:rsidRPr="009622FC">
        <w:rPr>
          <w:rFonts w:ascii="Garamond" w:hAnsi="Garamond"/>
        </w:rPr>
        <w:t>ation being unabsorbed, have led to a great budget surplus. This budget surplus, plus the financing revenue, particularly from the</w:t>
      </w:r>
      <w:r w:rsidR="0055055D" w:rsidRPr="009622FC">
        <w:rPr>
          <w:rFonts w:ascii="Garamond" w:hAnsi="Garamond"/>
        </w:rPr>
        <w:t xml:space="preserve"> previous year’s SiLPA, makes</w:t>
      </w:r>
      <w:r w:rsidRPr="009622FC">
        <w:rPr>
          <w:rFonts w:ascii="Garamond" w:hAnsi="Garamond"/>
        </w:rPr>
        <w:t xml:space="preserve"> the current year’s SiLPA higher, even </w:t>
      </w:r>
      <w:r w:rsidR="0055055D" w:rsidRPr="009622FC">
        <w:rPr>
          <w:rFonts w:ascii="Garamond" w:hAnsi="Garamond"/>
        </w:rPr>
        <w:t>after the deduction of</w:t>
      </w:r>
      <w:r w:rsidRPr="009622FC">
        <w:rPr>
          <w:rFonts w:ascii="Garamond" w:hAnsi="Garamond"/>
        </w:rPr>
        <w:t xml:space="preserve"> financing </w:t>
      </w:r>
      <w:r w:rsidRPr="009622FC">
        <w:rPr>
          <w:rFonts w:ascii="Garamond" w:hAnsi="Garamond"/>
          <w:bCs/>
        </w:rPr>
        <w:t>expenditure</w:t>
      </w:r>
      <w:r w:rsidRPr="009622FC">
        <w:rPr>
          <w:rFonts w:ascii="Garamond" w:hAnsi="Garamond"/>
        </w:rPr>
        <w:t xml:space="preserve">, such as the establishment of a reserve fund and debt principal payment. </w:t>
      </w:r>
    </w:p>
    <w:p w:rsidR="00B42460" w:rsidRPr="009622FC" w:rsidRDefault="00273E5C" w:rsidP="00B42460">
      <w:pPr>
        <w:jc w:val="center"/>
        <w:rPr>
          <w:rFonts w:ascii="Garamond" w:hAnsi="Garamond"/>
          <w:b/>
        </w:rPr>
      </w:pPr>
      <w:r w:rsidRPr="009622FC">
        <w:rPr>
          <w:rFonts w:ascii="Garamond" w:hAnsi="Garamond"/>
          <w:b/>
        </w:rPr>
        <w:t>Graphic</w:t>
      </w:r>
      <w:r w:rsidR="008E3691" w:rsidRPr="009622FC">
        <w:rPr>
          <w:rFonts w:ascii="Garamond" w:hAnsi="Garamond"/>
          <w:b/>
        </w:rPr>
        <w:t xml:space="preserve"> 3.28 </w:t>
      </w:r>
      <w:r w:rsidR="00B42460" w:rsidRPr="009622FC">
        <w:rPr>
          <w:rFonts w:ascii="Garamond" w:hAnsi="Garamond"/>
          <w:b/>
        </w:rPr>
        <w:t>Ratio of SiLPA to Provincial Expenditure, 2009-2011</w:t>
      </w:r>
    </w:p>
    <w:p w:rsidR="00B42460" w:rsidRPr="00D018C6" w:rsidRDefault="00805913" w:rsidP="00D018C6">
      <w:pPr>
        <w:jc w:val="center"/>
        <w:rPr>
          <w:rFonts w:ascii="Garamond" w:hAnsi="Garamond"/>
          <w:b/>
          <w:lang w:val="en-US"/>
        </w:rPr>
      </w:pPr>
      <w:r w:rsidRPr="009622FC">
        <w:rPr>
          <w:rFonts w:ascii="Garamond" w:hAnsi="Garamond"/>
          <w:b/>
          <w:noProof/>
          <w:lang w:val="en-US" w:eastAsia="en-US" w:bidi="ar-SA"/>
        </w:rPr>
        <w:drawing>
          <wp:inline distT="0" distB="0" distL="0" distR="0">
            <wp:extent cx="4756127" cy="2607109"/>
            <wp:effectExtent l="11548" t="5637" r="6255" b="2819"/>
            <wp:docPr id="30" name="C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42460" w:rsidRPr="009622FC" w:rsidRDefault="00B42460" w:rsidP="00B42460">
      <w:pPr>
        <w:jc w:val="both"/>
        <w:rPr>
          <w:rFonts w:ascii="Garamond" w:hAnsi="Garamond" w:cs="Calibri"/>
          <w:b/>
          <w:lang w:val="en-US"/>
        </w:rPr>
      </w:pPr>
      <w:r w:rsidRPr="009622FC">
        <w:rPr>
          <w:rFonts w:ascii="Garamond" w:hAnsi="Garamond"/>
        </w:rPr>
        <w:t>Within the last three years, the average curren</w:t>
      </w:r>
      <w:r w:rsidR="0055055D" w:rsidRPr="009622FC">
        <w:rPr>
          <w:rFonts w:ascii="Garamond" w:hAnsi="Garamond"/>
        </w:rPr>
        <w:t>t-year SiLPA in East Kalimantan</w:t>
      </w:r>
      <w:r w:rsidRPr="009622FC">
        <w:rPr>
          <w:rFonts w:ascii="Garamond" w:hAnsi="Garamond" w:cs="Calibri"/>
          <w:vertAlign w:val="superscript"/>
        </w:rPr>
        <w:footnoteReference w:id="61"/>
      </w:r>
      <w:r w:rsidRPr="009622FC">
        <w:rPr>
          <w:rFonts w:ascii="Garamond" w:hAnsi="Garamond"/>
        </w:rPr>
        <w:t xml:space="preserve"> has been above the average provincial SiLPA at national level, amounting to 16.9 percent of regional spending. The current-year SiLPA for East Kalimantan has reached almost one quarter of the regional spending, that is, 24.7 percent. Meanwhile, in West Kalimantan </w:t>
      </w:r>
      <w:r w:rsidRPr="009622FC">
        <w:rPr>
          <w:rFonts w:ascii="Garamond" w:hAnsi="Garamond"/>
          <w:bCs/>
        </w:rPr>
        <w:t xml:space="preserve">and South Sumatra </w:t>
      </w:r>
      <w:r w:rsidRPr="009622FC">
        <w:rPr>
          <w:rFonts w:ascii="Garamond" w:hAnsi="Garamond"/>
        </w:rPr>
        <w:t xml:space="preserve">the average current-year SiLPA has remained below the average provincial SiLPA at the national level, that is, between 13 and 14 percent. Even though South Sumatra </w:t>
      </w:r>
      <w:r w:rsidRPr="009622FC">
        <w:rPr>
          <w:rFonts w:ascii="Garamond" w:hAnsi="Garamond"/>
          <w:bCs/>
        </w:rPr>
        <w:t xml:space="preserve">and West Kalimantan </w:t>
      </w:r>
      <w:r w:rsidRPr="009622FC">
        <w:rPr>
          <w:rFonts w:ascii="Garamond" w:hAnsi="Garamond"/>
        </w:rPr>
        <w:t xml:space="preserve">remain below the average provincial SiLPA at a national level, a SiLPA greater than 10 percent can be classified as high. According </w:t>
      </w:r>
      <w:r w:rsidR="0055055D" w:rsidRPr="009622FC">
        <w:rPr>
          <w:rFonts w:ascii="Garamond" w:hAnsi="Garamond"/>
        </w:rPr>
        <w:t xml:space="preserve">to </w:t>
      </w:r>
      <w:r w:rsidRPr="009622FC">
        <w:rPr>
          <w:rFonts w:ascii="Garamond" w:hAnsi="Garamond"/>
        </w:rPr>
        <w:t xml:space="preserve">many studies, </w:t>
      </w:r>
      <w:r w:rsidRPr="009622FC">
        <w:rPr>
          <w:rFonts w:ascii="Garamond" w:hAnsi="Garamond"/>
          <w:b/>
        </w:rPr>
        <w:t xml:space="preserve">a high SiLPA is vulnerable to misuse and to methods of corruption. </w:t>
      </w:r>
    </w:p>
    <w:p w:rsidR="00B42460" w:rsidRPr="009622FC" w:rsidRDefault="00325726" w:rsidP="00B42460">
      <w:pPr>
        <w:jc w:val="both"/>
        <w:rPr>
          <w:rFonts w:ascii="Garamond" w:hAnsi="Garamond" w:cs="Calibri"/>
        </w:rPr>
      </w:pPr>
      <w:r w:rsidRPr="00325726">
        <w:rPr>
          <w:rFonts w:ascii="Garamond" w:hAnsi="Garamond"/>
          <w:noProof/>
          <w:lang w:val="en-US" w:eastAsia="en-US" w:bidi="ar-SA"/>
        </w:rPr>
        <w:lastRenderedPageBreak/>
        <w:pict>
          <v:shape id="_x0000_s1032" type="#_x0000_t202" style="position:absolute;left:0;text-align:left;margin-left:262.5pt;margin-top:2.55pt;width:216.15pt;height:234.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">
            <v:textbox>
              <w:txbxContent>
                <w:p w:rsidR="005E5906" w:rsidRDefault="005E5906" w:rsidP="00B42460">
                  <w:pPr>
                    <w:shd w:val="clear" w:color="auto" w:fill="B2A1C7"/>
                    <w:rPr>
                      <w:b/>
                      <w:lang w:val="en-US"/>
                    </w:rPr>
                  </w:pPr>
                  <w:r>
                    <w:rPr>
                      <w:b/>
                      <w:lang w:val="en-US"/>
                    </w:rPr>
                    <w:t xml:space="preserve">Box </w:t>
                  </w:r>
                  <w:r>
                    <w:rPr>
                      <w:b/>
                    </w:rPr>
                    <w:t>3.6</w:t>
                  </w:r>
                  <w:r w:rsidRPr="00AA26EC">
                    <w:rPr>
                      <w:b/>
                      <w:lang w:val="en-US"/>
                    </w:rPr>
                    <w:t xml:space="preserve"> </w:t>
                  </w:r>
                  <w:r>
                    <w:rPr>
                      <w:b/>
                      <w:lang w:val="en-US"/>
                    </w:rPr>
                    <w:t>Methods of Corruption Using SiLPA</w:t>
                  </w:r>
                </w:p>
                <w:p w:rsidR="005E5906" w:rsidRPr="00835B97" w:rsidRDefault="005E5906" w:rsidP="00B42460">
                  <w:pPr>
                    <w:shd w:val="clear" w:color="auto" w:fill="B2A1C7"/>
                    <w:rPr>
                      <w:rFonts w:cs="Calibri"/>
                      <w:lang w:val="en-US"/>
                    </w:rPr>
                  </w:pPr>
                  <w:r>
                    <w:rPr>
                      <w:rFonts w:cs="Calibri"/>
                      <w:lang w:val="en-US"/>
                    </w:rPr>
                    <w:t xml:space="preserve">Many regions have “deposited” quite large sums of SiLPA funds into their regional budgets (APBD). Several methods of corruption have arisen from cases of SiLPA being deposited in the interests of benefiting certain parties, such as not reporting income deposit interest that accommodates SiLPA. Others misappropriate funds by entering deposit funds into regional recapitulation costs. </w:t>
                  </w:r>
                  <w:r w:rsidRPr="00835B97">
                    <w:rPr>
                      <w:rFonts w:cs="Calibri"/>
                      <w:b/>
                      <w:lang w:val="en-US"/>
                    </w:rPr>
                    <w:t>[</w:t>
                  </w:r>
                  <w:r>
                    <w:rPr>
                      <w:rFonts w:cs="Calibri"/>
                      <w:b/>
                      <w:lang w:val="en-US"/>
                    </w:rPr>
                    <w:t>Experience of Garut, Mapag researcher Haryono</w:t>
                  </w:r>
                  <w:r w:rsidRPr="00835B97">
                    <w:rPr>
                      <w:rFonts w:cs="Calibri"/>
                      <w:b/>
                      <w:lang w:val="en-US"/>
                    </w:rPr>
                    <w:t>]</w:t>
                  </w:r>
                  <w:r w:rsidRPr="00835B97">
                    <w:rPr>
                      <w:rFonts w:cs="Calibri"/>
                      <w:lang w:val="en-US"/>
                    </w:rPr>
                    <w:t>.</w:t>
                  </w:r>
                </w:p>
              </w:txbxContent>
            </v:textbox>
            <w10:wrap type="square"/>
          </v:shape>
        </w:pict>
      </w:r>
      <w:r w:rsidR="00B42460" w:rsidRPr="009622FC">
        <w:rPr>
          <w:rFonts w:ascii="Garamond" w:hAnsi="Garamond"/>
          <w:b/>
        </w:rPr>
        <w:t>Altogether the districts of East Kalimantan province have a SiLPA of more than Rp100 billion</w:t>
      </w:r>
      <w:r w:rsidR="00B42460" w:rsidRPr="009622FC">
        <w:rPr>
          <w:rFonts w:ascii="Garamond" w:hAnsi="Garamond"/>
        </w:rPr>
        <w:t>. Berau and Bulungan have the highest proportion, between 58 and 97 percent of regional s</w:t>
      </w:r>
      <w:r w:rsidR="003E6557">
        <w:rPr>
          <w:rFonts w:ascii="Garamond" w:hAnsi="Garamond"/>
        </w:rPr>
        <w:t>pending. In the 2011 APBD-Reali</w:t>
      </w:r>
      <w:r w:rsidR="003E6557">
        <w:rPr>
          <w:rFonts w:ascii="Garamond" w:hAnsi="Garamond"/>
          <w:lang w:val="en-US"/>
        </w:rPr>
        <w:t>s</w:t>
      </w:r>
      <w:r w:rsidR="00B42460" w:rsidRPr="009622FC">
        <w:rPr>
          <w:rFonts w:ascii="Garamond" w:hAnsi="Garamond"/>
        </w:rPr>
        <w:t>ed, the lowest SiLPA of districts in East Kalimantan amounted to Rp129.7 billion, and the highest reached Rp2.83 trillion. The growth of the current-year SiLPA in East Kalimantan also shows extremes. During the period 2009-2010, the current-year SiLPA grew at a rate of 6.8 percent, and during 2010-2011 grew to 89.2 percent. On further investigation, the amount of current-year SiLPA for East Kalimantan is mainly due to the low regional revenue projection and the low regional spending a</w:t>
      </w:r>
      <w:r w:rsidR="0055055D" w:rsidRPr="009622FC">
        <w:rPr>
          <w:rFonts w:ascii="Garamond" w:hAnsi="Garamond"/>
        </w:rPr>
        <w:t>bsorption. Why is it so? B</w:t>
      </w:r>
      <w:r w:rsidR="00B42460" w:rsidRPr="009622FC">
        <w:rPr>
          <w:rFonts w:ascii="Garamond" w:hAnsi="Garamond"/>
        </w:rPr>
        <w:t>ecause most districts in East Kalimantan are designed to be in deficit in th</w:t>
      </w:r>
      <w:r w:rsidR="003E6557">
        <w:rPr>
          <w:rFonts w:ascii="Garamond" w:hAnsi="Garamond"/>
        </w:rPr>
        <w:t>eir APBD plans, while the reali</w:t>
      </w:r>
      <w:r w:rsidR="003E6557">
        <w:rPr>
          <w:rFonts w:ascii="Garamond" w:hAnsi="Garamond"/>
          <w:lang w:val="en-US"/>
        </w:rPr>
        <w:t>s</w:t>
      </w:r>
      <w:r w:rsidR="00B42460" w:rsidRPr="009622FC">
        <w:rPr>
          <w:rFonts w:ascii="Garamond" w:hAnsi="Garamond"/>
        </w:rPr>
        <w:t>ation is actually surplus. Additionally, since surplus occurs, the additional previous year’s SiLPA also contributes to the increased current-year SiLPA.</w:t>
      </w:r>
    </w:p>
    <w:p w:rsidR="00B42460" w:rsidRPr="009622FC" w:rsidRDefault="00B42460" w:rsidP="00B42460">
      <w:pPr>
        <w:jc w:val="both"/>
        <w:rPr>
          <w:rFonts w:ascii="Garamond" w:hAnsi="Garamond" w:cs="Calibri"/>
          <w:lang w:val="en-US"/>
        </w:rPr>
      </w:pPr>
      <w:r w:rsidRPr="009622FC">
        <w:rPr>
          <w:rFonts w:ascii="Garamond" w:hAnsi="Garamond"/>
        </w:rPr>
        <w:t xml:space="preserve">The magnitude of SiLPA in East Kalimantan is also intended to be an anticipation of Multi-Year Contract activities, which are not optimally absorbed in the </w:t>
      </w:r>
      <w:r w:rsidR="004170A0" w:rsidRPr="009622FC">
        <w:rPr>
          <w:rFonts w:ascii="Garamond" w:hAnsi="Garamond"/>
        </w:rPr>
        <w:t xml:space="preserve">previous year’s budget, for </w:t>
      </w:r>
      <w:r w:rsidR="003E6557">
        <w:rPr>
          <w:rFonts w:ascii="Garamond" w:hAnsi="Garamond"/>
        </w:rPr>
        <w:t>utili</w:t>
      </w:r>
      <w:r w:rsidR="003E6557">
        <w:rPr>
          <w:rFonts w:ascii="Garamond" w:hAnsi="Garamond"/>
          <w:lang w:val="en-US"/>
        </w:rPr>
        <w:t>s</w:t>
      </w:r>
      <w:r w:rsidRPr="009622FC">
        <w:rPr>
          <w:rFonts w:ascii="Garamond" w:hAnsi="Garamond"/>
        </w:rPr>
        <w:t>ation in the next budget year. Such a policy is made after having taken into account the tenure of a governor and the necessity to accomplish all development plans employing a Multi-Year Contract bugdeting system.</w:t>
      </w:r>
      <w:r w:rsidRPr="009622FC">
        <w:rPr>
          <w:rStyle w:val="FootnoteReference"/>
          <w:rFonts w:ascii="Garamond" w:hAnsi="Garamond" w:cs="Calibri"/>
        </w:rPr>
        <w:footnoteReference w:id="62"/>
      </w:r>
    </w:p>
    <w:p w:rsidR="00B42460" w:rsidRPr="009622FC" w:rsidRDefault="004170A0" w:rsidP="00B42460">
      <w:pPr>
        <w:spacing w:after="0"/>
        <w:jc w:val="center"/>
        <w:rPr>
          <w:rFonts w:ascii="Garamond" w:hAnsi="Garamond"/>
          <w:b/>
        </w:rPr>
      </w:pPr>
      <w:r w:rsidRPr="009622FC">
        <w:rPr>
          <w:rFonts w:ascii="Garamond" w:hAnsi="Garamond"/>
          <w:b/>
        </w:rPr>
        <w:t>Table 3.4 Current-Year</w:t>
      </w:r>
      <w:r w:rsidR="00B42460" w:rsidRPr="009622FC">
        <w:rPr>
          <w:rFonts w:ascii="Garamond" w:hAnsi="Garamond"/>
          <w:b/>
        </w:rPr>
        <w:t xml:space="preserve"> SiLPA and Its Ratio to Regional Spending,</w:t>
      </w:r>
    </w:p>
    <w:p w:rsidR="00B42460" w:rsidRPr="009622FC" w:rsidRDefault="00B42460" w:rsidP="00B42460">
      <w:pPr>
        <w:spacing w:after="0"/>
        <w:jc w:val="center"/>
        <w:rPr>
          <w:rFonts w:ascii="Garamond" w:hAnsi="Garamond"/>
          <w:b/>
        </w:rPr>
      </w:pPr>
      <w:r w:rsidRPr="009622FC">
        <w:rPr>
          <w:rFonts w:ascii="Garamond" w:hAnsi="Garamond"/>
          <w:b/>
        </w:rPr>
        <w:t>East Kalimantan 2011</w:t>
      </w:r>
    </w:p>
    <w:p w:rsidR="00B42460" w:rsidRPr="009622FC" w:rsidRDefault="00B42460" w:rsidP="00B42460">
      <w:pPr>
        <w:spacing w:after="0"/>
        <w:ind w:right="1170"/>
        <w:jc w:val="right"/>
        <w:rPr>
          <w:rFonts w:ascii="Garamond" w:hAnsi="Garamond"/>
          <w:sz w:val="16"/>
        </w:rPr>
      </w:pPr>
      <w:r w:rsidRPr="009622FC">
        <w:rPr>
          <w:rFonts w:ascii="Garamond" w:hAnsi="Garamond"/>
          <w:sz w:val="16"/>
        </w:rPr>
        <w:t>(Million Rupiah)</w:t>
      </w:r>
    </w:p>
    <w:tbl>
      <w:tblPr>
        <w:tblW w:w="7105" w:type="dxa"/>
        <w:jc w:val="center"/>
        <w:tblBorders>
          <w:top w:val="single" w:sz="18" w:space="0" w:color="auto"/>
          <w:bottom w:val="single" w:sz="18" w:space="0" w:color="auto"/>
        </w:tblBorders>
        <w:tblLook w:val="04A0"/>
      </w:tblPr>
      <w:tblGrid>
        <w:gridCol w:w="2667"/>
        <w:gridCol w:w="1890"/>
        <w:gridCol w:w="1290"/>
        <w:gridCol w:w="1258"/>
      </w:tblGrid>
      <w:tr w:rsidR="00B42460" w:rsidRPr="009622FC">
        <w:trPr>
          <w:trHeight w:val="556"/>
          <w:jc w:val="center"/>
        </w:trPr>
        <w:tc>
          <w:tcPr>
            <w:tcW w:w="2667" w:type="dxa"/>
            <w:tcBorders>
              <w:top w:val="single" w:sz="18" w:space="0" w:color="auto"/>
              <w:bottom w:val="single" w:sz="18" w:space="0" w:color="auto"/>
            </w:tcBorders>
            <w:shd w:val="clear" w:color="auto" w:fill="9BBB59"/>
            <w:noWrap/>
            <w:vAlign w:val="center"/>
          </w:tcPr>
          <w:p w:rsidR="00B42460" w:rsidRPr="009622FC" w:rsidRDefault="00B42460" w:rsidP="00B42460">
            <w:pPr>
              <w:spacing w:after="0"/>
              <w:jc w:val="center"/>
              <w:rPr>
                <w:rFonts w:ascii="Garamond" w:hAnsi="Garamond"/>
                <w:b/>
                <w:bCs/>
                <w:color w:val="FFFFFF"/>
              </w:rPr>
            </w:pPr>
            <w:r w:rsidRPr="009622FC">
              <w:rPr>
                <w:rFonts w:ascii="Garamond" w:hAnsi="Garamond"/>
                <w:b/>
                <w:bCs/>
                <w:color w:val="FFFFFF"/>
              </w:rPr>
              <w:t>Province/District</w:t>
            </w:r>
          </w:p>
        </w:tc>
        <w:tc>
          <w:tcPr>
            <w:tcW w:w="1890" w:type="dxa"/>
            <w:tcBorders>
              <w:top w:val="single" w:sz="18" w:space="0" w:color="auto"/>
              <w:left w:val="nil"/>
              <w:bottom w:val="single" w:sz="18" w:space="0" w:color="auto"/>
              <w:right w:val="nil"/>
            </w:tcBorders>
            <w:shd w:val="clear" w:color="auto" w:fill="9BBB59"/>
            <w:noWrap/>
            <w:vAlign w:val="center"/>
          </w:tcPr>
          <w:p w:rsidR="00B42460" w:rsidRPr="009622FC" w:rsidRDefault="00B42460" w:rsidP="00B42460">
            <w:pPr>
              <w:spacing w:after="0"/>
              <w:jc w:val="center"/>
              <w:rPr>
                <w:rFonts w:ascii="Garamond" w:hAnsi="Garamond"/>
                <w:b/>
                <w:bCs/>
                <w:color w:val="FFFFFF"/>
              </w:rPr>
            </w:pPr>
            <w:r w:rsidRPr="009622FC">
              <w:rPr>
                <w:rFonts w:ascii="Garamond" w:hAnsi="Garamond"/>
                <w:b/>
                <w:bCs/>
                <w:color w:val="FFFFFF"/>
              </w:rPr>
              <w:t>Regional Expenditure</w:t>
            </w:r>
          </w:p>
        </w:tc>
        <w:tc>
          <w:tcPr>
            <w:tcW w:w="1290" w:type="dxa"/>
            <w:tcBorders>
              <w:top w:val="single" w:sz="18" w:space="0" w:color="auto"/>
              <w:bottom w:val="single" w:sz="18" w:space="0" w:color="auto"/>
            </w:tcBorders>
            <w:shd w:val="clear" w:color="auto" w:fill="9BBB59"/>
            <w:noWrap/>
            <w:vAlign w:val="center"/>
          </w:tcPr>
          <w:p w:rsidR="00B42460" w:rsidRPr="009622FC" w:rsidRDefault="00B42460" w:rsidP="00B42460">
            <w:pPr>
              <w:spacing w:after="0"/>
              <w:jc w:val="center"/>
              <w:rPr>
                <w:rFonts w:ascii="Garamond" w:hAnsi="Garamond"/>
                <w:b/>
                <w:bCs/>
                <w:color w:val="FFFFFF"/>
                <w:lang w:val="en-US"/>
              </w:rPr>
            </w:pPr>
            <w:r w:rsidRPr="009622FC">
              <w:rPr>
                <w:rFonts w:ascii="Garamond" w:hAnsi="Garamond"/>
                <w:b/>
                <w:bCs/>
                <w:color w:val="FFFFFF"/>
              </w:rPr>
              <w:t>Current Budget Year's SiLPA</w:t>
            </w:r>
          </w:p>
        </w:tc>
        <w:tc>
          <w:tcPr>
            <w:tcW w:w="1258" w:type="dxa"/>
            <w:tcBorders>
              <w:top w:val="single" w:sz="18" w:space="0" w:color="auto"/>
              <w:left w:val="nil"/>
              <w:bottom w:val="single" w:sz="18" w:space="0" w:color="auto"/>
              <w:right w:val="nil"/>
            </w:tcBorders>
            <w:shd w:val="clear" w:color="auto" w:fill="9BBB59"/>
            <w:noWrap/>
            <w:vAlign w:val="center"/>
          </w:tcPr>
          <w:p w:rsidR="00B42460" w:rsidRPr="009622FC" w:rsidRDefault="00B42460" w:rsidP="00B42460">
            <w:pPr>
              <w:spacing w:after="0"/>
              <w:jc w:val="center"/>
              <w:rPr>
                <w:rFonts w:ascii="Garamond" w:hAnsi="Garamond"/>
                <w:b/>
                <w:bCs/>
                <w:color w:val="FFFFFF"/>
              </w:rPr>
            </w:pPr>
            <w:r w:rsidRPr="009622FC">
              <w:rPr>
                <w:rFonts w:ascii="Garamond" w:hAnsi="Garamond"/>
                <w:b/>
                <w:bCs/>
                <w:color w:val="FFFFFF"/>
              </w:rPr>
              <w:t>Percentage</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East Kalimantan Province</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8,143,273</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2,837,724</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35%</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 xml:space="preserve">Berau District </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1,407,723</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1,028,191</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73%</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lang w:val="en-US"/>
              </w:rPr>
            </w:pPr>
            <w:r w:rsidRPr="009622FC">
              <w:rPr>
                <w:rFonts w:ascii="Garamond" w:hAnsi="Garamond"/>
                <w:bCs/>
                <w:color w:val="000000"/>
              </w:rPr>
              <w:t>Bulungan District *)</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1,036,129</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1,007,795</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97%</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 xml:space="preserve">Kutai Kartanegara District </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3,923,616</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2,441,490</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62%</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 xml:space="preserve">West Kutai District </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1,565,618</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129,723</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8%</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 xml:space="preserve">East Kutai District </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2,188,074</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370,077</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17%</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lang w:val="en-US"/>
              </w:rPr>
            </w:pPr>
            <w:r w:rsidRPr="009622FC">
              <w:rPr>
                <w:rFonts w:ascii="Garamond" w:hAnsi="Garamond"/>
                <w:bCs/>
                <w:color w:val="000000"/>
              </w:rPr>
              <w:t>Malinau District*)</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1,246,119</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780,137</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63%</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lang w:val="en-US"/>
              </w:rPr>
            </w:pPr>
            <w:r w:rsidRPr="009622FC">
              <w:rPr>
                <w:rFonts w:ascii="Garamond" w:hAnsi="Garamond"/>
                <w:bCs/>
                <w:color w:val="000000"/>
              </w:rPr>
              <w:t>Nunukan District *)</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1,037,267</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504,210</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49%</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 xml:space="preserve">Paser District </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1,367,724</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490,574</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36%</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Balikpapan Municipality</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1,527,540</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466,879</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31%</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Bontang Municipality</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974,962</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243,242</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25%</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Samarinda Municipality</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1,475,902</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497,014</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34%</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lang w:val="en-US"/>
              </w:rPr>
            </w:pPr>
            <w:r w:rsidRPr="009622FC">
              <w:rPr>
                <w:rFonts w:ascii="Garamond" w:hAnsi="Garamond"/>
                <w:bCs/>
                <w:color w:val="000000"/>
              </w:rPr>
              <w:t>Tarakan Municipality *)</w:t>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1,119,935</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526,510</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47%</w:t>
            </w:r>
          </w:p>
        </w:tc>
      </w:tr>
      <w:tr w:rsidR="00B42460" w:rsidRPr="009622FC">
        <w:trPr>
          <w:trHeight w:val="285"/>
          <w:jc w:val="center"/>
        </w:trPr>
        <w:tc>
          <w:tcPr>
            <w:tcW w:w="2667" w:type="dxa"/>
            <w:shd w:val="clear" w:color="auto" w:fill="9BBB59"/>
            <w:noWrap/>
          </w:tcPr>
          <w:p w:rsidR="00B42460" w:rsidRPr="009622FC" w:rsidRDefault="00B42460" w:rsidP="00B42460">
            <w:pPr>
              <w:spacing w:after="0"/>
              <w:rPr>
                <w:rFonts w:ascii="Garamond" w:hAnsi="Garamond"/>
                <w:bCs/>
                <w:color w:val="000000"/>
              </w:rPr>
            </w:pPr>
            <w:r w:rsidRPr="009622FC">
              <w:rPr>
                <w:rFonts w:ascii="Garamond" w:hAnsi="Garamond"/>
                <w:bCs/>
                <w:color w:val="000000"/>
              </w:rPr>
              <w:t xml:space="preserve">North Penajam Paser District </w:t>
            </w:r>
          </w:p>
        </w:tc>
        <w:tc>
          <w:tcPr>
            <w:tcW w:w="18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1,102,006</w:t>
            </w:r>
          </w:p>
        </w:tc>
        <w:tc>
          <w:tcPr>
            <w:tcW w:w="1290"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173,458</w:t>
            </w:r>
          </w:p>
        </w:tc>
        <w:tc>
          <w:tcPr>
            <w:tcW w:w="1258" w:type="dxa"/>
            <w:shd w:val="clear" w:color="auto" w:fill="auto"/>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16%</w:t>
            </w:r>
          </w:p>
        </w:tc>
      </w:tr>
      <w:tr w:rsidR="00B42460" w:rsidRPr="009622FC">
        <w:trPr>
          <w:trHeight w:val="285"/>
          <w:jc w:val="center"/>
        </w:trPr>
        <w:tc>
          <w:tcPr>
            <w:tcW w:w="2667" w:type="dxa"/>
            <w:tcBorders>
              <w:bottom w:val="single" w:sz="18" w:space="0" w:color="auto"/>
            </w:tcBorders>
            <w:shd w:val="clear" w:color="auto" w:fill="9BBB59"/>
            <w:noWrap/>
          </w:tcPr>
          <w:p w:rsidR="00B42460" w:rsidRPr="009622FC" w:rsidRDefault="00B42460" w:rsidP="00B42460">
            <w:pPr>
              <w:spacing w:after="0"/>
              <w:rPr>
                <w:rFonts w:ascii="Garamond" w:hAnsi="Garamond"/>
                <w:bCs/>
                <w:color w:val="000000"/>
                <w:lang w:val="en-US"/>
              </w:rPr>
            </w:pPr>
            <w:r w:rsidRPr="009622FC">
              <w:rPr>
                <w:rFonts w:ascii="Garamond" w:hAnsi="Garamond"/>
                <w:bCs/>
                <w:color w:val="000000"/>
              </w:rPr>
              <w:t>Tana Tidung District*)</w:t>
            </w:r>
            <w:r w:rsidRPr="009622FC">
              <w:rPr>
                <w:rStyle w:val="FootnoteReference"/>
                <w:rFonts w:ascii="Garamond" w:hAnsi="Garamond"/>
                <w:bCs/>
                <w:color w:val="000000"/>
                <w:lang w:val="en-US"/>
              </w:rPr>
              <w:footnoteReference w:id="63"/>
            </w:r>
          </w:p>
        </w:tc>
        <w:tc>
          <w:tcPr>
            <w:tcW w:w="18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774,686</w:t>
            </w:r>
          </w:p>
        </w:tc>
        <w:tc>
          <w:tcPr>
            <w:tcW w:w="1290"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688,558</w:t>
            </w:r>
          </w:p>
        </w:tc>
        <w:tc>
          <w:tcPr>
            <w:tcW w:w="1258" w:type="dxa"/>
            <w:shd w:val="clear" w:color="auto" w:fill="D8D8D8"/>
            <w:noWrap/>
          </w:tcPr>
          <w:p w:rsidR="00B42460" w:rsidRPr="009622FC" w:rsidRDefault="00B42460" w:rsidP="00B42460">
            <w:pPr>
              <w:spacing w:after="0"/>
              <w:jc w:val="center"/>
              <w:rPr>
                <w:rFonts w:ascii="Garamond" w:hAnsi="Garamond"/>
                <w:color w:val="000000"/>
              </w:rPr>
            </w:pPr>
            <w:r w:rsidRPr="009622FC">
              <w:rPr>
                <w:rFonts w:ascii="Garamond" w:hAnsi="Garamond"/>
                <w:color w:val="000000"/>
              </w:rPr>
              <w:t>89%</w:t>
            </w:r>
          </w:p>
        </w:tc>
      </w:tr>
    </w:tbl>
    <w:p w:rsidR="00B42460" w:rsidRPr="009622FC" w:rsidRDefault="00325726" w:rsidP="00B42460">
      <w:pPr>
        <w:rPr>
          <w:rFonts w:ascii="Garamond" w:hAnsi="Garamond"/>
        </w:rPr>
      </w:pPr>
      <w:r>
        <w:rPr>
          <w:rFonts w:ascii="Garamond" w:hAnsi="Garamond"/>
          <w:noProof/>
          <w:lang w:val="en-US" w:eastAsia="en-US" w:bidi="ar-SA"/>
        </w:rPr>
        <w:pict>
          <v:rect id="Rectangle 74" o:spid="_x0000_s1033" style="position:absolute;margin-left:56.6pt;margin-top:5.95pt;width:352.35pt;height:22.3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" stroked="f">
            <v:textbox>
              <w:txbxContent>
                <w:p w:rsidR="005E5906" w:rsidRPr="00D94F38" w:rsidRDefault="005E5906" w:rsidP="00B42460">
                  <w:pPr>
                    <w:rPr>
                      <w:rFonts w:ascii="Garamond" w:hAnsi="Garamond"/>
                      <w:sz w:val="20"/>
                      <w:szCs w:val="20"/>
                    </w:rPr>
                  </w:pPr>
                  <w:r w:rsidRPr="00D94F38">
                    <w:rPr>
                      <w:rFonts w:ascii="Garamond" w:hAnsi="Garamond"/>
                      <w:sz w:val="20"/>
                      <w:szCs w:val="20"/>
                    </w:rPr>
                    <w:t>S</w:t>
                  </w:r>
                  <w:r w:rsidR="00D94F38" w:rsidRPr="00D94F38">
                    <w:rPr>
                      <w:rFonts w:ascii="Garamond" w:hAnsi="Garamond"/>
                      <w:noProof/>
                      <w:sz w:val="20"/>
                      <w:szCs w:val="20"/>
                      <w:lang w:val="en-US"/>
                    </w:rPr>
                    <w:t>ource</w:t>
                  </w:r>
                  <w:r w:rsidRPr="00D94F38">
                    <w:rPr>
                      <w:rFonts w:ascii="Garamond" w:hAnsi="Garamond"/>
                      <w:noProof/>
                      <w:sz w:val="20"/>
                      <w:szCs w:val="20"/>
                    </w:rPr>
                    <w:t xml:space="preserve">: Database APBD-Realisasi DJPK Kemenkeu 2011, </w:t>
                  </w:r>
                  <w:r w:rsidR="00D94F38">
                    <w:rPr>
                      <w:rFonts w:ascii="Garamond" w:hAnsi="Garamond"/>
                      <w:noProof/>
                      <w:sz w:val="20"/>
                      <w:szCs w:val="20"/>
                      <w:lang w:val="en-US"/>
                    </w:rPr>
                    <w:t>obtained by</w:t>
                  </w:r>
                  <w:r w:rsidRPr="00D94F38">
                    <w:rPr>
                      <w:rFonts w:ascii="Garamond" w:hAnsi="Garamond"/>
                      <w:noProof/>
                      <w:sz w:val="20"/>
                      <w:szCs w:val="20"/>
                    </w:rPr>
                    <w:t xml:space="preserve"> Seknas FITRA</w:t>
                  </w:r>
                </w:p>
              </w:txbxContent>
            </v:textbox>
          </v:rect>
        </w:pict>
      </w:r>
    </w:p>
    <w:p w:rsidR="00B42460" w:rsidRPr="009622FC" w:rsidRDefault="00B42460" w:rsidP="00B42460">
      <w:pPr>
        <w:jc w:val="both"/>
        <w:rPr>
          <w:rFonts w:ascii="Garamond" w:hAnsi="Garamond" w:cs="Calibri"/>
          <w:lang w:val="en-US"/>
        </w:rPr>
      </w:pPr>
      <w:r w:rsidRPr="009622FC">
        <w:rPr>
          <w:rFonts w:ascii="Garamond" w:hAnsi="Garamond"/>
        </w:rPr>
        <w:lastRenderedPageBreak/>
        <w:t xml:space="preserve">The high budget surplus of these regional governments shows that the capacity of governments to manage public funds is still lacking. The allocation of local government spending on overcoming environmental destruction is inadequate, even though significant funds remain unused as budget surplus in local government coffers. </w:t>
      </w:r>
    </w:p>
    <w:p w:rsidR="00B42460" w:rsidRPr="009622FC" w:rsidRDefault="00B42460" w:rsidP="00B42460">
      <w:pPr>
        <w:jc w:val="both"/>
        <w:rPr>
          <w:rFonts w:ascii="Garamond" w:hAnsi="Garamond" w:cs="Calibri"/>
        </w:rPr>
      </w:pPr>
      <w:r w:rsidRPr="009622FC">
        <w:rPr>
          <w:rFonts w:ascii="Garamond" w:hAnsi="Garamond"/>
          <w:b/>
        </w:rPr>
        <w:t xml:space="preserve">The high amount of fiscal space in the regions is in fact an opportunity to increase allocation of spending on land and forest governance. </w:t>
      </w:r>
      <w:r w:rsidRPr="009622FC">
        <w:rPr>
          <w:rFonts w:ascii="Garamond" w:hAnsi="Garamond"/>
        </w:rPr>
        <w:t>Fiscal space is a ratio depicting the amount of revenue regions can use freely to fund their programs/activities according to their needs. The calculation of fiscal space is obtained from deducting the total revenue from the revenue earmarked for use and required expenditure, such as public servant spending and interest. Fiscal space can also arise out of the increased revenue in various sectors and decreased liability for debt payment. Additionally, th</w:t>
      </w:r>
      <w:r w:rsidR="003E6557">
        <w:rPr>
          <w:rFonts w:ascii="Garamond" w:hAnsi="Garamond"/>
        </w:rPr>
        <w:t>e effectiveness of budget utili</w:t>
      </w:r>
      <w:r w:rsidR="003E6557">
        <w:rPr>
          <w:rFonts w:ascii="Garamond" w:hAnsi="Garamond"/>
          <w:lang w:val="en-US"/>
        </w:rPr>
        <w:t>s</w:t>
      </w:r>
      <w:r w:rsidRPr="009622FC">
        <w:rPr>
          <w:rFonts w:ascii="Garamond" w:hAnsi="Garamond"/>
        </w:rPr>
        <w:t xml:space="preserve">ation in a region also supports the generation of sufficient fiscal space to </w:t>
      </w:r>
      <w:r w:rsidR="004170A0" w:rsidRPr="009622FC">
        <w:rPr>
          <w:rFonts w:ascii="Garamond" w:hAnsi="Garamond"/>
        </w:rPr>
        <w:t>develop</w:t>
      </w:r>
      <w:r w:rsidRPr="009622FC">
        <w:rPr>
          <w:rFonts w:ascii="Garamond" w:hAnsi="Garamond"/>
        </w:rPr>
        <w:t xml:space="preserve"> a region. In this case, the planning and budgeting contained in a region’s APBD plays a crucial role. Regional governments are expected to</w:t>
      </w:r>
      <w:r w:rsidR="003E6557">
        <w:rPr>
          <w:rFonts w:ascii="Garamond" w:hAnsi="Garamond"/>
        </w:rPr>
        <w:t xml:space="preserve"> have some initiatives to utili</w:t>
      </w:r>
      <w:r w:rsidR="003E6557">
        <w:rPr>
          <w:rFonts w:ascii="Garamond" w:hAnsi="Garamond"/>
          <w:lang w:val="en-US"/>
        </w:rPr>
        <w:t>s</w:t>
      </w:r>
      <w:r w:rsidRPr="009622FC">
        <w:rPr>
          <w:rFonts w:ascii="Garamond" w:hAnsi="Garamond"/>
        </w:rPr>
        <w:t>e the existing fiscal space in order to trigger economic growth.</w:t>
      </w:r>
    </w:p>
    <w:p w:rsidR="00B42460" w:rsidRPr="00D018C6" w:rsidRDefault="00B42460" w:rsidP="00B42460">
      <w:pPr>
        <w:jc w:val="both"/>
        <w:rPr>
          <w:rFonts w:ascii="Garamond" w:hAnsi="Garamond"/>
          <w:lang w:val="en-US"/>
        </w:rPr>
      </w:pPr>
      <w:r w:rsidRPr="009622FC">
        <w:rPr>
          <w:rFonts w:ascii="Garamond" w:hAnsi="Garamond"/>
        </w:rPr>
        <w:t xml:space="preserve">The proportion of fiscal space per capita in provinces is really high, that is, more than 60 percent of the regional revenue is free/flexible to be used for financing regional development. Even East Kalimantan has an average fiscal space of more than 80 percent. Provincial governments generally have more flexible financial capacity compared to that of districts/municipalities. </w:t>
      </w:r>
    </w:p>
    <w:p w:rsidR="00B42460" w:rsidRPr="009622FC" w:rsidRDefault="00273E5C" w:rsidP="00B42460">
      <w:pPr>
        <w:jc w:val="center"/>
        <w:rPr>
          <w:rFonts w:ascii="Garamond" w:hAnsi="Garamond"/>
          <w:b/>
        </w:rPr>
      </w:pPr>
      <w:r w:rsidRPr="009622FC">
        <w:rPr>
          <w:rFonts w:ascii="Garamond" w:hAnsi="Garamond"/>
          <w:b/>
        </w:rPr>
        <w:t>Graphic</w:t>
      </w:r>
      <w:r w:rsidR="00B42460" w:rsidRPr="009622FC">
        <w:rPr>
          <w:rFonts w:ascii="Garamond" w:hAnsi="Garamond"/>
          <w:b/>
        </w:rPr>
        <w:t>ic 3.29</w:t>
      </w:r>
      <w:r w:rsidR="00601A84" w:rsidRPr="009622FC">
        <w:rPr>
          <w:rFonts w:ascii="Garamond" w:hAnsi="Garamond"/>
          <w:b/>
        </w:rPr>
        <w:t xml:space="preserve"> </w:t>
      </w:r>
      <w:r w:rsidR="00B42460" w:rsidRPr="009622FC">
        <w:rPr>
          <w:rFonts w:ascii="Garamond" w:hAnsi="Garamond"/>
          <w:b/>
        </w:rPr>
        <w:t>Provincial Real Fiscal Space Per Capita and Its Ratio to Revenue, 2009-2012</w:t>
      </w:r>
    </w:p>
    <w:p w:rsidR="00B42460" w:rsidRPr="009622FC" w:rsidRDefault="00805913" w:rsidP="00B42460">
      <w:pPr>
        <w:jc w:val="center"/>
        <w:rPr>
          <w:rFonts w:ascii="Garamond" w:hAnsi="Garamond" w:cs="Calibri"/>
          <w:lang w:val="en-US"/>
        </w:rPr>
      </w:pPr>
      <w:r w:rsidRPr="009622FC">
        <w:rPr>
          <w:rFonts w:ascii="Garamond" w:hAnsi="Garamond" w:cs="Calibri"/>
          <w:noProof/>
          <w:lang w:val="en-US" w:eastAsia="en-US" w:bidi="ar-SA"/>
        </w:rPr>
        <w:drawing>
          <wp:inline distT="0" distB="0" distL="0" distR="0">
            <wp:extent cx="4810686" cy="2624499"/>
            <wp:effectExtent l="25400" t="25400" r="15314" b="0"/>
            <wp:docPr id="31" name="C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42460" w:rsidRPr="00D018C6" w:rsidRDefault="00B42460" w:rsidP="00B42460">
      <w:pPr>
        <w:jc w:val="both"/>
        <w:rPr>
          <w:rFonts w:ascii="Garamond" w:hAnsi="Garamond"/>
          <w:lang w:val="en-US"/>
        </w:rPr>
      </w:pPr>
      <w:r w:rsidRPr="009622FC">
        <w:rPr>
          <w:rFonts w:ascii="Garamond" w:hAnsi="Garamond"/>
        </w:rPr>
        <w:t xml:space="preserve">With their high natural resource revenue and fiscal space, regional governments, particularly the provinces, should be able to develop a sustainable natural resources system with consideration of the existing land and forest condition in their areas. With a high amount of fiscal space, governments are not overly burdened by earmarked costs that must be used accordingly. This means that local government spending needed for land and forest governance can still be allocated in optimal proportions. </w:t>
      </w:r>
    </w:p>
    <w:p w:rsidR="00B42460" w:rsidRPr="00D018C6" w:rsidRDefault="00B42460" w:rsidP="00B42460">
      <w:pPr>
        <w:jc w:val="both"/>
        <w:rPr>
          <w:rFonts w:ascii="Garamond" w:hAnsi="Garamond"/>
          <w:lang w:val="en-US"/>
        </w:rPr>
      </w:pPr>
      <w:r w:rsidRPr="009622FC">
        <w:rPr>
          <w:rFonts w:ascii="Garamond" w:hAnsi="Garamond"/>
          <w:b/>
        </w:rPr>
        <w:t xml:space="preserve">The fiscal space trend per capita of natural resource-producing districts </w:t>
      </w:r>
      <w:r w:rsidR="00601A84" w:rsidRPr="009622FC">
        <w:rPr>
          <w:rFonts w:ascii="Garamond" w:hAnsi="Garamond"/>
          <w:b/>
        </w:rPr>
        <w:t>is very high and lies above the</w:t>
      </w:r>
      <w:r w:rsidRPr="009622FC">
        <w:rPr>
          <w:rFonts w:ascii="Garamond" w:hAnsi="Garamond"/>
          <w:b/>
        </w:rPr>
        <w:t xml:space="preserve"> national average</w:t>
      </w:r>
      <w:r w:rsidR="00601A84" w:rsidRPr="009622FC">
        <w:rPr>
          <w:rFonts w:ascii="Garamond" w:hAnsi="Garamond"/>
        </w:rPr>
        <w:t>. It is noted that</w:t>
      </w:r>
      <w:r w:rsidRPr="009622FC">
        <w:rPr>
          <w:rFonts w:ascii="Garamond" w:hAnsi="Garamond"/>
        </w:rPr>
        <w:t xml:space="preserve"> on</w:t>
      </w:r>
      <w:r w:rsidR="00601A84" w:rsidRPr="009622FC">
        <w:rPr>
          <w:rFonts w:ascii="Garamond" w:hAnsi="Garamond"/>
        </w:rPr>
        <w:t xml:space="preserve"> average, the six regions </w:t>
      </w:r>
      <w:r w:rsidRPr="009622FC">
        <w:rPr>
          <w:rFonts w:ascii="Garamond" w:hAnsi="Garamond"/>
        </w:rPr>
        <w:t>have a fiscal space of Rp2,692,164 over four years. At a national level, however, the average fiscal space per capita of these districts is only Rp539,538. Bulungan and Berau districts showed the highest average fiscal space among the six regions above, amounting to Rp6,357,637 and Rp5,029,403 respectively, or equal to almost 62-63 percent of the regional revenue per capita. Sintang and Kubu Raya districts are the lowest one of only Rp932,861 and Rp552,021/individual/year.</w:t>
      </w:r>
    </w:p>
    <w:p w:rsidR="00B42460" w:rsidRPr="009622FC" w:rsidRDefault="00273E5C" w:rsidP="00B42460">
      <w:pPr>
        <w:jc w:val="center"/>
        <w:rPr>
          <w:rFonts w:ascii="Garamond" w:hAnsi="Garamond"/>
          <w:b/>
        </w:rPr>
      </w:pPr>
      <w:r w:rsidRPr="009622FC">
        <w:rPr>
          <w:rFonts w:ascii="Garamond" w:hAnsi="Garamond"/>
          <w:b/>
        </w:rPr>
        <w:lastRenderedPageBreak/>
        <w:t>Graphic</w:t>
      </w:r>
      <w:r w:rsidR="00601A84" w:rsidRPr="009622FC">
        <w:rPr>
          <w:rFonts w:ascii="Garamond" w:hAnsi="Garamond"/>
          <w:b/>
        </w:rPr>
        <w:t>ic 3.30</w:t>
      </w:r>
      <w:r w:rsidR="00B42460" w:rsidRPr="009622FC">
        <w:rPr>
          <w:rFonts w:ascii="Garamond" w:hAnsi="Garamond"/>
          <w:b/>
        </w:rPr>
        <w:t xml:space="preserve"> District Real Fiscal Space Per Capita and Its Ratio to Revenue, 2009-2012</w:t>
      </w:r>
    </w:p>
    <w:p w:rsidR="00B42460" w:rsidRPr="009622FC" w:rsidRDefault="00805913" w:rsidP="00B42460">
      <w:pPr>
        <w:jc w:val="center"/>
        <w:rPr>
          <w:rFonts w:ascii="Garamond" w:hAnsi="Garamond" w:cs="Calibri"/>
          <w:b/>
        </w:rPr>
      </w:pPr>
      <w:r w:rsidRPr="009622FC">
        <w:rPr>
          <w:rFonts w:ascii="Garamond" w:hAnsi="Garamond" w:cs="Calibri"/>
          <w:b/>
          <w:noProof/>
          <w:lang w:val="en-US" w:eastAsia="en-US" w:bidi="ar-SA"/>
        </w:rPr>
        <w:drawing>
          <wp:inline distT="0" distB="0" distL="0" distR="0">
            <wp:extent cx="5923863" cy="2947019"/>
            <wp:effectExtent l="13158" t="7634" r="6579" b="1272"/>
            <wp:docPr id="32" name="C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42460" w:rsidRPr="009622FC" w:rsidRDefault="00B42460" w:rsidP="00B42460">
      <w:pPr>
        <w:jc w:val="both"/>
        <w:rPr>
          <w:rFonts w:ascii="Garamond" w:hAnsi="Garamond" w:cs="Calibri"/>
        </w:rPr>
      </w:pPr>
      <w:r w:rsidRPr="009622FC">
        <w:rPr>
          <w:rFonts w:ascii="Garamond" w:hAnsi="Garamond"/>
        </w:rPr>
        <w:t xml:space="preserve">These findings are consistent with the DBH and its ratio to regional revenue, in which the natural resource-producing regions occupy a place far away above the local average at a national level, including the condition of the regions’ fiscal space. It is safe to say that </w:t>
      </w:r>
      <w:r w:rsidRPr="009622FC">
        <w:rPr>
          <w:rFonts w:ascii="Garamond" w:hAnsi="Garamond"/>
          <w:b/>
        </w:rPr>
        <w:t>producing regions have more flexible financial capacity as compared to other regions</w:t>
      </w:r>
      <w:r w:rsidRPr="009622FC">
        <w:rPr>
          <w:rFonts w:ascii="Garamond" w:hAnsi="Garamond"/>
        </w:rPr>
        <w:t xml:space="preserve">. With their high natural resource revenue and fiscal space, regional governments should be able to develop a sustainable natural resources system with a consideration of the existing land and forest condition in their areas. </w:t>
      </w:r>
    </w:p>
    <w:p w:rsidR="00B42460" w:rsidRPr="009622FC" w:rsidRDefault="00B42460" w:rsidP="00B42460">
      <w:pPr>
        <w:spacing w:after="0"/>
        <w:rPr>
          <w:rFonts w:ascii="Garamond" w:eastAsia="Times New Roman" w:hAnsi="Garamond"/>
          <w:b/>
          <w:bCs/>
          <w:color w:val="5B9BD5"/>
          <w:sz w:val="26"/>
          <w:szCs w:val="26"/>
        </w:rPr>
      </w:pPr>
      <w:r w:rsidRPr="009622FC">
        <w:rPr>
          <w:rFonts w:ascii="Garamond" w:hAnsi="Garamond"/>
        </w:rPr>
        <w:br w:type="page"/>
      </w:r>
    </w:p>
    <w:p w:rsidR="00B42460" w:rsidRPr="009622FC" w:rsidRDefault="00B42460" w:rsidP="00B42460">
      <w:pPr>
        <w:pStyle w:val="Heading2"/>
        <w:rPr>
          <w:rFonts w:ascii="Garamond" w:hAnsi="Garamond"/>
          <w:color w:val="auto"/>
          <w:sz w:val="36"/>
        </w:rPr>
      </w:pPr>
      <w:r w:rsidRPr="009622FC">
        <w:rPr>
          <w:rFonts w:ascii="Garamond" w:hAnsi="Garamond"/>
          <w:color w:val="auto"/>
          <w:sz w:val="36"/>
        </w:rPr>
        <w:lastRenderedPageBreak/>
        <w:t xml:space="preserve">Part IV                                                                                                                                                          Conclusion and Recommendations </w:t>
      </w:r>
    </w:p>
    <w:p w:rsidR="00B42460" w:rsidRPr="009622FC" w:rsidRDefault="00B42460" w:rsidP="00B42460">
      <w:pPr>
        <w:spacing w:after="0"/>
        <w:rPr>
          <w:rFonts w:ascii="Garamond" w:hAnsi="Garamond"/>
          <w:b/>
          <w:u w:val="single"/>
          <w:lang w:val="en-US"/>
        </w:rPr>
      </w:pPr>
    </w:p>
    <w:p w:rsidR="00B42460" w:rsidRPr="009622FC" w:rsidRDefault="00B42460" w:rsidP="00B42460">
      <w:pPr>
        <w:spacing w:after="0"/>
        <w:rPr>
          <w:rFonts w:ascii="Garamond" w:hAnsi="Garamond"/>
          <w:b/>
          <w:u w:val="single"/>
          <w:lang w:val="en-US"/>
        </w:rPr>
      </w:pPr>
      <w:r w:rsidRPr="009622FC">
        <w:rPr>
          <w:rFonts w:ascii="Garamond" w:hAnsi="Garamond"/>
          <w:b/>
          <w:u w:val="single"/>
        </w:rPr>
        <w:t xml:space="preserve">4.1 Conclusion </w:t>
      </w:r>
    </w:p>
    <w:p w:rsidR="00B42460" w:rsidRPr="009622FC" w:rsidRDefault="00B42460" w:rsidP="00B42460">
      <w:pPr>
        <w:spacing w:after="0"/>
        <w:rPr>
          <w:rFonts w:ascii="Garamond" w:hAnsi="Garamond"/>
          <w:lang w:val="en-US"/>
        </w:rPr>
      </w:pPr>
    </w:p>
    <w:p w:rsidR="00B42460" w:rsidRPr="009622FC" w:rsidRDefault="00B42460" w:rsidP="00B42460">
      <w:pPr>
        <w:spacing w:after="0"/>
        <w:jc w:val="both"/>
        <w:rPr>
          <w:rFonts w:ascii="Garamond" w:hAnsi="Garamond"/>
          <w:lang w:val="en-US"/>
        </w:rPr>
      </w:pPr>
      <w:r w:rsidRPr="009622FC">
        <w:rPr>
          <w:rFonts w:ascii="Garamond" w:hAnsi="Garamond"/>
          <w:b/>
        </w:rPr>
        <w:t xml:space="preserve">The </w:t>
      </w:r>
      <w:r w:rsidR="00916163" w:rsidRPr="009622FC">
        <w:rPr>
          <w:rFonts w:ascii="Garamond" w:hAnsi="Garamond"/>
          <w:b/>
        </w:rPr>
        <w:t xml:space="preserve">responsibility taken for land and forest governance by </w:t>
      </w:r>
      <w:r w:rsidRPr="009622FC">
        <w:rPr>
          <w:rFonts w:ascii="Garamond" w:hAnsi="Garamond"/>
          <w:b/>
        </w:rPr>
        <w:t>regional gove</w:t>
      </w:r>
      <w:r w:rsidR="00916163" w:rsidRPr="009622FC">
        <w:rPr>
          <w:rFonts w:ascii="Garamond" w:hAnsi="Garamond"/>
          <w:b/>
        </w:rPr>
        <w:t>rnments</w:t>
      </w:r>
      <w:r w:rsidRPr="009622FC">
        <w:rPr>
          <w:rFonts w:ascii="Garamond" w:hAnsi="Garamond"/>
          <w:b/>
        </w:rPr>
        <w:t xml:space="preserve"> is less than optimal</w:t>
      </w:r>
      <w:r w:rsidRPr="009622FC">
        <w:rPr>
          <w:rFonts w:ascii="Garamond" w:hAnsi="Garamond"/>
        </w:rPr>
        <w:t>. The central government has failed to deal optimally with the challen</w:t>
      </w:r>
      <w:r w:rsidR="003E6557">
        <w:rPr>
          <w:rFonts w:ascii="Garamond" w:hAnsi="Garamond"/>
        </w:rPr>
        <w:t>ges presented by the decentrali</w:t>
      </w:r>
      <w:r w:rsidR="003E6557">
        <w:rPr>
          <w:rFonts w:ascii="Garamond" w:hAnsi="Garamond"/>
          <w:lang w:val="en-US"/>
        </w:rPr>
        <w:t>s</w:t>
      </w:r>
      <w:r w:rsidRPr="009622FC">
        <w:rPr>
          <w:rFonts w:ascii="Garamond" w:hAnsi="Garamond"/>
        </w:rPr>
        <w:t>ation era for the good of society. Regional responsibility is interpreted to mean using land and forests for the greatest possible profit. Meanwhile, not enough responsibility has been taken for the constant increase in environment</w:t>
      </w:r>
      <w:r w:rsidR="003E6557">
        <w:rPr>
          <w:rFonts w:ascii="Garamond" w:hAnsi="Garamond"/>
        </w:rPr>
        <w:t>al damage during the decentrali</w:t>
      </w:r>
      <w:r w:rsidR="003E6557">
        <w:rPr>
          <w:rFonts w:ascii="Garamond" w:hAnsi="Garamond"/>
          <w:lang w:val="en-US"/>
        </w:rPr>
        <w:t>s</w:t>
      </w:r>
      <w:r w:rsidRPr="009622FC">
        <w:rPr>
          <w:rFonts w:ascii="Garamond" w:hAnsi="Garamond"/>
        </w:rPr>
        <w:t xml:space="preserve">ation era. Local leadership and regional governments’ capability and capacity to plan, implement and monitor land and forest governance has become part of the poor accountability of the regional government. </w:t>
      </w:r>
    </w:p>
    <w:p w:rsidR="00B42460" w:rsidRPr="009622FC" w:rsidRDefault="00B42460" w:rsidP="00B42460">
      <w:pPr>
        <w:spacing w:after="0"/>
        <w:ind w:left="720"/>
        <w:jc w:val="both"/>
        <w:rPr>
          <w:rFonts w:ascii="Garamond" w:hAnsi="Garamond"/>
          <w:lang w:val="en-US"/>
        </w:rPr>
      </w:pPr>
      <w:r w:rsidRPr="009622FC">
        <w:rPr>
          <w:rFonts w:ascii="Garamond" w:hAnsi="Garamond"/>
          <w:b/>
          <w:i/>
        </w:rPr>
        <w:t>Firstly</w:t>
      </w:r>
      <w:r w:rsidRPr="009622FC">
        <w:rPr>
          <w:rFonts w:ascii="Garamond" w:hAnsi="Garamond"/>
        </w:rPr>
        <w:t>, the vision and mission of regional gov</w:t>
      </w:r>
      <w:r w:rsidR="003E6557">
        <w:rPr>
          <w:rFonts w:ascii="Garamond" w:hAnsi="Garamond"/>
        </w:rPr>
        <w:t>ernments has tended to prioriti</w:t>
      </w:r>
      <w:r w:rsidR="003E6557">
        <w:rPr>
          <w:rFonts w:ascii="Garamond" w:hAnsi="Garamond"/>
          <w:lang w:val="en-US"/>
        </w:rPr>
        <w:t>s</w:t>
      </w:r>
      <w:r w:rsidR="003E6557">
        <w:rPr>
          <w:rFonts w:ascii="Garamond" w:hAnsi="Garamond"/>
        </w:rPr>
        <w:t>e the optimi</w:t>
      </w:r>
      <w:r w:rsidR="003E6557">
        <w:rPr>
          <w:rFonts w:ascii="Garamond" w:hAnsi="Garamond"/>
          <w:lang w:val="en-US"/>
        </w:rPr>
        <w:t>s</w:t>
      </w:r>
      <w:r w:rsidRPr="009622FC">
        <w:rPr>
          <w:rFonts w:ascii="Garamond" w:hAnsi="Garamond"/>
        </w:rPr>
        <w:t>ation of natural resource use with no optimum recovery plan. The regional government</w:t>
      </w:r>
      <w:r w:rsidR="003E6557">
        <w:rPr>
          <w:rFonts w:ascii="Garamond" w:hAnsi="Garamond"/>
        </w:rPr>
        <w:t>s’ visions and missions emphasi</w:t>
      </w:r>
      <w:r w:rsidR="003E6557">
        <w:rPr>
          <w:rFonts w:ascii="Garamond" w:hAnsi="Garamond"/>
          <w:lang w:val="en-US"/>
        </w:rPr>
        <w:t>s</w:t>
      </w:r>
      <w:r w:rsidRPr="009622FC">
        <w:rPr>
          <w:rFonts w:ascii="Garamond" w:hAnsi="Garamond"/>
        </w:rPr>
        <w:t xml:space="preserve">e land and forest exploitation as a source of regional revenue. Meanwhile, their environmental recovery policies, in addition to being planned in a less than optimal way, are given very small budget allocations. Sustainable development policies are interpreted as plans to expand mining and oil palm plantations. </w:t>
      </w:r>
    </w:p>
    <w:p w:rsidR="00B42460" w:rsidRPr="009622FC" w:rsidRDefault="00B42460" w:rsidP="00B42460">
      <w:pPr>
        <w:spacing w:after="0"/>
        <w:ind w:left="720"/>
        <w:jc w:val="both"/>
        <w:rPr>
          <w:rFonts w:ascii="Garamond" w:hAnsi="Garamond"/>
          <w:lang w:val="en-US"/>
        </w:rPr>
      </w:pPr>
      <w:r w:rsidRPr="009622FC">
        <w:rPr>
          <w:rFonts w:ascii="Garamond" w:hAnsi="Garamond"/>
          <w:b/>
          <w:i/>
        </w:rPr>
        <w:t>Secondly,</w:t>
      </w:r>
      <w:r w:rsidRPr="009622FC">
        <w:rPr>
          <w:rFonts w:ascii="Garamond" w:hAnsi="Garamond"/>
        </w:rPr>
        <w:t xml:space="preserve"> authority over land and forest governance is still chaotic, as monitoring is not properly conducted. Regiona</w:t>
      </w:r>
      <w:r w:rsidR="003E6557">
        <w:rPr>
          <w:rFonts w:ascii="Garamond" w:hAnsi="Garamond"/>
        </w:rPr>
        <w:t>l governments have been authori</w:t>
      </w:r>
      <w:r w:rsidR="003E6557">
        <w:rPr>
          <w:rFonts w:ascii="Garamond" w:hAnsi="Garamond"/>
          <w:lang w:val="en-US"/>
        </w:rPr>
        <w:t>s</w:t>
      </w:r>
      <w:r w:rsidRPr="009622FC">
        <w:rPr>
          <w:rFonts w:ascii="Garamond" w:hAnsi="Garamond"/>
        </w:rPr>
        <w:t xml:space="preserve">ed, to a fairly great extent, by the central government to manage mining and plantations. As for the management of forest resources, the central government still holds control. Regional authority over the management of mining and plantations has led mining business permits and plantation business permits to be rapidly granted on a massive scale. Meanwhile, authority held by the central government to monitor regional authorities is inadequate. The number of monitoring officers (mining inspectors and PPNS) is estimated to be inadequate for the job of monitoring land and forest issues. The central government has also not established any scheme to monitoring forest damage resulting from mining and plantation activities. The budget allocated for monitoring is really disappointing. Only a few regions make the allocation, and the budget for dispute settlement is allocated in an ad hoc manner since the case is also deemed to be a temporary event.   </w:t>
      </w:r>
    </w:p>
    <w:p w:rsidR="00B42460" w:rsidRPr="009622FC" w:rsidRDefault="00B42460" w:rsidP="00B42460">
      <w:pPr>
        <w:spacing w:after="0"/>
        <w:ind w:left="720"/>
        <w:jc w:val="both"/>
        <w:rPr>
          <w:rFonts w:ascii="Garamond" w:hAnsi="Garamond"/>
          <w:lang w:val="en-US"/>
        </w:rPr>
      </w:pPr>
      <w:r w:rsidRPr="009622FC">
        <w:rPr>
          <w:rFonts w:ascii="Garamond" w:hAnsi="Garamond"/>
          <w:b/>
          <w:i/>
        </w:rPr>
        <w:t>Thirdly</w:t>
      </w:r>
      <w:r w:rsidRPr="009622FC">
        <w:rPr>
          <w:rFonts w:ascii="Garamond" w:hAnsi="Garamond"/>
        </w:rPr>
        <w:t>, the regional incentive scheme is incapable of addressing forest and land damage issues. The regional government has failed to implement any incentive scheme to recover forest and land damage due to inappropriate regulations. The scheme through Profit-Sharing Funds for forestry affairs (included in this is DBH-DR forestation fund) in Bulungan was unabsorbed by up to 80 percent beca</w:t>
      </w:r>
      <w:r w:rsidR="00E024BA">
        <w:rPr>
          <w:rFonts w:ascii="Garamond" w:hAnsi="Garamond"/>
        </w:rPr>
        <w:t>use it failed to meet the utili</w:t>
      </w:r>
      <w:r w:rsidR="00E024BA">
        <w:rPr>
          <w:rFonts w:ascii="Garamond" w:hAnsi="Garamond"/>
          <w:lang w:val="en-US"/>
        </w:rPr>
        <w:t>s</w:t>
      </w:r>
      <w:r w:rsidRPr="009622FC">
        <w:rPr>
          <w:rFonts w:ascii="Garamond" w:hAnsi="Garamond"/>
        </w:rPr>
        <w:t xml:space="preserve">ation provisions, which indicates how ineffective this policy is. Meanwhile, the incentive scheme for regional governments to reduce conflicts and to demarcate boundaries is not well-developed. One of the reasons for conflicts arising is the unclear demarcation of boundaries by regional governments, a process which is still unfinished. </w:t>
      </w:r>
    </w:p>
    <w:p w:rsidR="00B42460" w:rsidRPr="009622FC" w:rsidRDefault="00B42460" w:rsidP="00B42460">
      <w:pPr>
        <w:spacing w:after="0"/>
        <w:jc w:val="both"/>
        <w:rPr>
          <w:rFonts w:ascii="Garamond" w:hAnsi="Garamond"/>
          <w:lang w:val="en-US"/>
        </w:rPr>
      </w:pPr>
    </w:p>
    <w:p w:rsidR="00B42460" w:rsidRPr="009622FC" w:rsidRDefault="00B42460" w:rsidP="00B42460">
      <w:pPr>
        <w:spacing w:after="0"/>
        <w:jc w:val="both"/>
        <w:rPr>
          <w:rFonts w:ascii="Garamond" w:hAnsi="Garamond"/>
          <w:lang w:val="en-US"/>
        </w:rPr>
      </w:pPr>
      <w:r w:rsidRPr="009622FC">
        <w:rPr>
          <w:rFonts w:ascii="Garamond" w:hAnsi="Garamond"/>
          <w:b/>
        </w:rPr>
        <w:t>The politics of local government budget policies has led to poor land and forest governance</w:t>
      </w:r>
      <w:r w:rsidRPr="009622FC">
        <w:rPr>
          <w:rFonts w:ascii="Garamond" w:hAnsi="Garamond"/>
        </w:rPr>
        <w:t>. The cur</w:t>
      </w:r>
      <w:r w:rsidR="00916163" w:rsidRPr="009622FC">
        <w:rPr>
          <w:rFonts w:ascii="Garamond" w:hAnsi="Garamond"/>
        </w:rPr>
        <w:t>rent direction of budget policy</w:t>
      </w:r>
      <w:r w:rsidRPr="009622FC">
        <w:rPr>
          <w:rFonts w:ascii="Garamond" w:hAnsi="Garamond"/>
        </w:rPr>
        <w:t xml:space="preserve">making regarding land and forest governance puts great emphasis on increasing revenue in land and forestry sectors, while expenditure on the rehabilitation of damaged land and forests is still very limited. </w:t>
      </w:r>
    </w:p>
    <w:p w:rsidR="00B42460" w:rsidRPr="009622FC" w:rsidRDefault="00B42460" w:rsidP="00B42460">
      <w:pPr>
        <w:spacing w:after="0"/>
        <w:ind w:left="720"/>
        <w:jc w:val="both"/>
        <w:rPr>
          <w:rFonts w:ascii="Garamond" w:hAnsi="Garamond"/>
          <w:lang w:val="en-US"/>
        </w:rPr>
      </w:pPr>
      <w:r w:rsidRPr="009622FC">
        <w:rPr>
          <w:rFonts w:ascii="Garamond" w:hAnsi="Garamond"/>
          <w:b/>
          <w:i/>
        </w:rPr>
        <w:t>Firstly</w:t>
      </w:r>
      <w:r w:rsidRPr="009622FC">
        <w:rPr>
          <w:rFonts w:ascii="Garamond" w:hAnsi="Garamond"/>
          <w:i/>
        </w:rPr>
        <w:t xml:space="preserve">, </w:t>
      </w:r>
      <w:r w:rsidRPr="009622FC">
        <w:rPr>
          <w:rFonts w:ascii="Garamond" w:hAnsi="Garamond"/>
        </w:rPr>
        <w:t>markdown of revenue plans and markup of expenditure plans has the potential to harm regional land and forest governance activities. Regional revenue is always set for lowe</w:t>
      </w:r>
      <w:r w:rsidR="00E024BA">
        <w:rPr>
          <w:rFonts w:ascii="Garamond" w:hAnsi="Garamond"/>
        </w:rPr>
        <w:t>r gains than are actually reali</w:t>
      </w:r>
      <w:r w:rsidR="00E024BA">
        <w:rPr>
          <w:rFonts w:ascii="Garamond" w:hAnsi="Garamond"/>
          <w:lang w:val="en-US"/>
        </w:rPr>
        <w:t>s</w:t>
      </w:r>
      <w:r w:rsidRPr="009622FC">
        <w:rPr>
          <w:rFonts w:ascii="Garamond" w:hAnsi="Garamond"/>
        </w:rPr>
        <w:t>ed. In contrast, regional expenditure is always set higher tha</w:t>
      </w:r>
      <w:r w:rsidR="00E024BA">
        <w:rPr>
          <w:rFonts w:ascii="Garamond" w:hAnsi="Garamond"/>
        </w:rPr>
        <w:t>n the expenditure that is reali</w:t>
      </w:r>
      <w:r w:rsidR="00E024BA">
        <w:rPr>
          <w:rFonts w:ascii="Garamond" w:hAnsi="Garamond"/>
          <w:lang w:val="en-US"/>
        </w:rPr>
        <w:t>s</w:t>
      </w:r>
      <w:r w:rsidRPr="009622FC">
        <w:rPr>
          <w:rFonts w:ascii="Garamond" w:hAnsi="Garamond"/>
        </w:rPr>
        <w:t xml:space="preserve">ed. Regional governments repeat these scenarios again and again, indicating that public financial management at the regional level is very poor. Poor public financial management brings with it the potential for loss of regional revenue, particularly in the land and forest sector. </w:t>
      </w:r>
    </w:p>
    <w:p w:rsidR="00B42460" w:rsidRPr="009622FC" w:rsidRDefault="00B42460" w:rsidP="00B42460">
      <w:pPr>
        <w:spacing w:after="0"/>
        <w:ind w:left="720"/>
        <w:jc w:val="both"/>
        <w:rPr>
          <w:rFonts w:ascii="Garamond" w:hAnsi="Garamond"/>
          <w:lang w:val="en-US"/>
        </w:rPr>
      </w:pPr>
      <w:r w:rsidRPr="009622FC">
        <w:rPr>
          <w:rFonts w:ascii="Garamond" w:hAnsi="Garamond"/>
          <w:b/>
          <w:i/>
        </w:rPr>
        <w:lastRenderedPageBreak/>
        <w:t>Secondly</w:t>
      </w:r>
      <w:r w:rsidRPr="009622FC">
        <w:rPr>
          <w:rFonts w:ascii="Garamond" w:hAnsi="Garamond"/>
        </w:rPr>
        <w:t>, the high regional revenue from the land and forest sector is not followed up with an allocation of regional spending on prevention of deforestation and lan</w:t>
      </w:r>
      <w:r w:rsidR="00916163" w:rsidRPr="009622FC">
        <w:rPr>
          <w:rFonts w:ascii="Garamond" w:hAnsi="Garamond"/>
        </w:rPr>
        <w:t>d and forest degradation. T</w:t>
      </w:r>
      <w:r w:rsidRPr="009622FC">
        <w:rPr>
          <w:rFonts w:ascii="Garamond" w:hAnsi="Garamond"/>
        </w:rPr>
        <w:t>he high amount of regional revenue from this sector has no impact on social welf</w:t>
      </w:r>
      <w:r w:rsidR="00916163" w:rsidRPr="009622FC">
        <w:rPr>
          <w:rFonts w:ascii="Garamond" w:hAnsi="Garamond"/>
        </w:rPr>
        <w:t xml:space="preserve">are, unlike what is promised </w:t>
      </w:r>
      <w:r w:rsidRPr="009622FC">
        <w:rPr>
          <w:rFonts w:ascii="Garamond" w:hAnsi="Garamond"/>
        </w:rPr>
        <w:t xml:space="preserve">by regional governments’ vision and missions. Despite the absence of a benchmark, particularly one specifying the ideal amount to allocate on land and forest governance spending, the findings indicate that the spending allocation provided by regional governments are disproportionate with their efforts to make the land and forest sector a source of regional revenue. In several cases, it was found that spending on land and forest governance only received half the portion allocated to social assistance and grant spending. The expenditure allocation for the forestry, environment and spatial zoning sectors were only allocated around 1 percent each. Even for forestry functions, such a small budget cannot be absorbed well. </w:t>
      </w:r>
    </w:p>
    <w:p w:rsidR="00B42460" w:rsidRPr="009622FC" w:rsidRDefault="00B42460" w:rsidP="00B42460">
      <w:pPr>
        <w:spacing w:after="0"/>
        <w:ind w:left="720"/>
        <w:jc w:val="both"/>
        <w:rPr>
          <w:rFonts w:ascii="Garamond" w:hAnsi="Garamond"/>
          <w:lang w:val="en-US"/>
        </w:rPr>
      </w:pPr>
      <w:r w:rsidRPr="009622FC">
        <w:rPr>
          <w:rFonts w:ascii="Garamond" w:hAnsi="Garamond"/>
          <w:b/>
          <w:i/>
        </w:rPr>
        <w:t>Thirdly</w:t>
      </w:r>
      <w:r w:rsidRPr="009622FC">
        <w:rPr>
          <w:rFonts w:ascii="Garamond" w:hAnsi="Garamond"/>
        </w:rPr>
        <w:t xml:space="preserve">, it should be possible to use regional financing to fund greater spending on land and forest governance, since many regions have high SiLPA and fiscal space. </w:t>
      </w:r>
    </w:p>
    <w:p w:rsidR="00B42460" w:rsidRPr="009622FC" w:rsidRDefault="00B42460" w:rsidP="00B42460">
      <w:pPr>
        <w:spacing w:after="0"/>
        <w:jc w:val="both"/>
        <w:rPr>
          <w:rFonts w:ascii="Garamond" w:hAnsi="Garamond"/>
          <w:lang w:val="en-US"/>
        </w:rPr>
      </w:pPr>
    </w:p>
    <w:p w:rsidR="00B42460" w:rsidRPr="009622FC" w:rsidRDefault="00B42460" w:rsidP="00B42460">
      <w:pPr>
        <w:spacing w:after="0"/>
        <w:jc w:val="both"/>
        <w:rPr>
          <w:rFonts w:ascii="Garamond" w:hAnsi="Garamond"/>
          <w:b/>
          <w:u w:val="single"/>
          <w:lang w:val="en-US"/>
        </w:rPr>
      </w:pPr>
      <w:r w:rsidRPr="009622FC">
        <w:rPr>
          <w:rFonts w:ascii="Garamond" w:hAnsi="Garamond"/>
          <w:b/>
          <w:u w:val="single"/>
        </w:rPr>
        <w:t>4.2 Recommendation</w:t>
      </w:r>
      <w:r w:rsidR="00F85C67" w:rsidRPr="009622FC">
        <w:rPr>
          <w:rFonts w:ascii="Garamond" w:hAnsi="Garamond"/>
          <w:b/>
          <w:u w:val="single"/>
        </w:rPr>
        <w:t>s</w:t>
      </w:r>
      <w:r w:rsidRPr="009622FC">
        <w:rPr>
          <w:rFonts w:ascii="Garamond" w:hAnsi="Garamond"/>
          <w:b/>
          <w:u w:val="single"/>
        </w:rPr>
        <w:t xml:space="preserve"> </w:t>
      </w:r>
    </w:p>
    <w:p w:rsidR="00B42460" w:rsidRPr="009622FC" w:rsidRDefault="00B42460" w:rsidP="00B42460">
      <w:pPr>
        <w:spacing w:after="0"/>
        <w:rPr>
          <w:rFonts w:ascii="Garamond" w:hAnsi="Garamond"/>
          <w:lang w:val="en-US"/>
        </w:rPr>
      </w:pPr>
    </w:p>
    <w:p w:rsidR="00B42460" w:rsidRPr="009622FC" w:rsidRDefault="00B42460" w:rsidP="00B42460">
      <w:pPr>
        <w:spacing w:after="0"/>
        <w:rPr>
          <w:rFonts w:ascii="Garamond" w:hAnsi="Garamond"/>
          <w:lang w:val="en-US"/>
        </w:rPr>
      </w:pPr>
      <w:r w:rsidRPr="009622FC">
        <w:rPr>
          <w:rFonts w:ascii="Garamond" w:hAnsi="Garamond"/>
          <w:b/>
        </w:rPr>
        <w:t>For the central government</w:t>
      </w:r>
      <w:r w:rsidRPr="009622FC">
        <w:rPr>
          <w:rFonts w:ascii="Garamond" w:hAnsi="Garamond"/>
        </w:rPr>
        <w:t xml:space="preserve">, this research recommends : </w:t>
      </w:r>
    </w:p>
    <w:p w:rsidR="00B42460" w:rsidRPr="009622FC" w:rsidRDefault="00B42460" w:rsidP="00B42460">
      <w:pPr>
        <w:pStyle w:val="ListParagraph"/>
        <w:numPr>
          <w:ilvl w:val="0"/>
          <w:numId w:val="37"/>
        </w:numPr>
        <w:spacing w:after="0"/>
        <w:rPr>
          <w:rFonts w:ascii="Garamond" w:hAnsi="Garamond"/>
          <w:lang w:val="en-US"/>
        </w:rPr>
      </w:pPr>
      <w:r w:rsidRPr="009622FC">
        <w:rPr>
          <w:rFonts w:ascii="Garamond" w:hAnsi="Garamond"/>
        </w:rPr>
        <w:t xml:space="preserve">That the central government develop and revise its incentive schemes for more optimal land and forest governance by: </w:t>
      </w:r>
    </w:p>
    <w:p w:rsidR="00B42460" w:rsidRPr="009622FC" w:rsidRDefault="00B42460" w:rsidP="00B42460">
      <w:pPr>
        <w:pStyle w:val="ListParagraph"/>
        <w:numPr>
          <w:ilvl w:val="1"/>
          <w:numId w:val="37"/>
        </w:numPr>
        <w:spacing w:after="0"/>
        <w:rPr>
          <w:rFonts w:ascii="Garamond" w:hAnsi="Garamond"/>
          <w:lang w:val="en-US"/>
        </w:rPr>
      </w:pPr>
      <w:r w:rsidRPr="009622FC">
        <w:rPr>
          <w:rFonts w:ascii="Garamond" w:hAnsi="Garamond"/>
        </w:rPr>
        <w:t xml:space="preserve">Revising the policy on DBH DR management in order to steer it more towards its objective, that is, mitigating forest and land damage by allowing regions to innovate, rather than by emasculating them. </w:t>
      </w:r>
    </w:p>
    <w:p w:rsidR="00B42460" w:rsidRPr="009622FC" w:rsidRDefault="00B42460" w:rsidP="00B42460">
      <w:pPr>
        <w:pStyle w:val="ListParagraph"/>
        <w:numPr>
          <w:ilvl w:val="1"/>
          <w:numId w:val="37"/>
        </w:numPr>
        <w:tabs>
          <w:tab w:val="left" w:pos="426"/>
        </w:tabs>
        <w:spacing w:after="0"/>
        <w:jc w:val="both"/>
        <w:rPr>
          <w:rFonts w:ascii="Garamond" w:hAnsi="Garamond"/>
        </w:rPr>
      </w:pPr>
      <w:r w:rsidRPr="009622FC">
        <w:rPr>
          <w:rFonts w:ascii="Garamond" w:hAnsi="Garamond"/>
        </w:rPr>
        <w:t>Giving more authority to regional governments, particularly for the acceleration of environmental damage recovery or rehabilitation targets, and giving the public access to forestland governance. International experience suggests that public participation in forest governance is effective in maintaining forest coverage. There is a need for further studies on this in ord</w:t>
      </w:r>
      <w:r w:rsidR="00E024BA">
        <w:rPr>
          <w:rFonts w:ascii="Garamond" w:hAnsi="Garamond"/>
        </w:rPr>
        <w:t>er to maximi</w:t>
      </w:r>
      <w:r w:rsidR="00E024BA">
        <w:rPr>
          <w:rFonts w:ascii="Garamond" w:hAnsi="Garamond"/>
          <w:lang w:val="en-US"/>
        </w:rPr>
        <w:t>s</w:t>
      </w:r>
      <w:r w:rsidRPr="009622FC">
        <w:rPr>
          <w:rFonts w:ascii="Garamond" w:hAnsi="Garamond"/>
        </w:rPr>
        <w:t xml:space="preserve">e regional authority. The granting of greater authority should be followed by the establishment of clear performance indicators and an adequate fiscal policy for its implementation.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rPr>
        <w:t xml:space="preserve">Developing an incentive scheme to reduce more massive environment damage, for example, to encourage regional governments that are serious about settling boundary demarcation and land disputes. As is already is known, clear boundary demarcation is a critical stage in mitigating deforestation and land and forest degradation. However, thus far, many regions have not accomplished these activities. </w:t>
      </w:r>
    </w:p>
    <w:p w:rsidR="00B42460" w:rsidRPr="009622FC" w:rsidRDefault="00B42460" w:rsidP="00B42460">
      <w:pPr>
        <w:pStyle w:val="ListParagraph"/>
        <w:numPr>
          <w:ilvl w:val="0"/>
          <w:numId w:val="37"/>
        </w:numPr>
        <w:spacing w:after="0"/>
        <w:jc w:val="both"/>
        <w:rPr>
          <w:rFonts w:ascii="Garamond" w:hAnsi="Garamond"/>
          <w:lang w:val="en-US"/>
        </w:rPr>
      </w:pPr>
      <w:r w:rsidRPr="009622FC">
        <w:rPr>
          <w:rFonts w:ascii="Garamond" w:hAnsi="Garamond"/>
        </w:rPr>
        <w:t>Tha</w:t>
      </w:r>
      <w:r w:rsidR="00E024BA">
        <w:rPr>
          <w:rFonts w:ascii="Garamond" w:hAnsi="Garamond"/>
        </w:rPr>
        <w:t>t the central government maximi</w:t>
      </w:r>
      <w:r w:rsidR="00E024BA">
        <w:rPr>
          <w:rFonts w:ascii="Garamond" w:hAnsi="Garamond"/>
          <w:lang w:val="en-US"/>
        </w:rPr>
        <w:t>s</w:t>
      </w:r>
      <w:r w:rsidRPr="009622FC">
        <w:rPr>
          <w:rFonts w:ascii="Garamond" w:hAnsi="Garamond"/>
        </w:rPr>
        <w:t xml:space="preserve">e the monitoring role of regional planning and budgeting policy in order to prevent high rates of deforestation and land and forest degradation in the regions. The central government can do this by: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rPr>
        <w:t>Developing benchmarks</w:t>
      </w:r>
      <w:r w:rsidRPr="009622FC">
        <w:rPr>
          <w:rFonts w:ascii="Garamond" w:hAnsi="Garamond"/>
          <w:i/>
        </w:rPr>
        <w:t xml:space="preserve"> </w:t>
      </w:r>
      <w:r w:rsidRPr="009622FC">
        <w:rPr>
          <w:rFonts w:ascii="Garamond" w:hAnsi="Garamond"/>
        </w:rPr>
        <w:t>related to land and forest governance. For example, a benchmark</w:t>
      </w:r>
      <w:r w:rsidRPr="009622FC">
        <w:rPr>
          <w:rFonts w:ascii="Garamond" w:hAnsi="Garamond"/>
          <w:i/>
        </w:rPr>
        <w:t xml:space="preserve"> </w:t>
      </w:r>
      <w:r w:rsidRPr="009622FC">
        <w:rPr>
          <w:rFonts w:ascii="Garamond" w:hAnsi="Garamond"/>
        </w:rPr>
        <w:t xml:space="preserve">for land recovery costs, number of monitoring personnel per hectare and other issues.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rPr>
        <w:t>Developing a review instrument for regional planning and budgeting policy with greater partiality to mitigation of deforestation and land and forest degradation. Studies conducted by the government are generally too broad and give too little consideration to environmental damage and greenhouse gas emissions. The Indonesian government's commitment to mitigating emissions should be addressed by, among other things, providing review instruments for regional policy. Such a review instrument may take the form of a “</w:t>
      </w:r>
      <w:r w:rsidRPr="009622FC">
        <w:rPr>
          <w:rFonts w:ascii="Garamond" w:hAnsi="Garamond"/>
          <w:color w:val="000000"/>
        </w:rPr>
        <w:t xml:space="preserve">pro-environmental policy statement” in planning policy documents such as the RPJMD and budget policies such as APBD.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color w:val="000000"/>
        </w:rPr>
        <w:lastRenderedPageBreak/>
        <w:t xml:space="preserve">Adjusting the programs and activities in the guideline structures of drafting an APBD each year in order for strategic activities on preventing deforestation and land and forest degradation to be implemented optimally, such as adding a new account code.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color w:val="000000"/>
        </w:rPr>
        <w:t xml:space="preserve">Developing more transparent and accountable public financial management monitoring and control instruments, particularly for tracking regional revenue from the land and forest sector and reclamation guarantee fund.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color w:val="000000"/>
        </w:rPr>
        <w:t xml:space="preserve">Encouraging the House of Representatives (DPR) to play a more optimal monitoring role by: </w:t>
      </w:r>
    </w:p>
    <w:p w:rsidR="00B42460" w:rsidRPr="009622FC" w:rsidRDefault="00B42460" w:rsidP="00B42460">
      <w:pPr>
        <w:pStyle w:val="ListParagraph"/>
        <w:numPr>
          <w:ilvl w:val="1"/>
          <w:numId w:val="37"/>
        </w:numPr>
        <w:spacing w:after="0"/>
        <w:jc w:val="both"/>
        <w:rPr>
          <w:rFonts w:ascii="Garamond" w:hAnsi="Garamond"/>
          <w:lang w:val="en-US"/>
        </w:rPr>
      </w:pPr>
      <w:r w:rsidRPr="009622FC">
        <w:rPr>
          <w:rFonts w:ascii="Garamond" w:hAnsi="Garamond"/>
        </w:rPr>
        <w:t xml:space="preserve">Developing sanction schemes for regions that may be conducting public financial management malpractice. The great number of regions having high SiLPA ought to be addressed by the central government through certain policy schemes, including a sanction instrument for regions. </w:t>
      </w:r>
    </w:p>
    <w:p w:rsidR="00B42460" w:rsidRPr="009622FC" w:rsidRDefault="00B42460" w:rsidP="00B42460">
      <w:pPr>
        <w:spacing w:after="0"/>
        <w:rPr>
          <w:rFonts w:ascii="Garamond" w:hAnsi="Garamond"/>
          <w:b/>
        </w:rPr>
      </w:pPr>
    </w:p>
    <w:p w:rsidR="00B42460" w:rsidRPr="009622FC" w:rsidRDefault="00B42460" w:rsidP="00B42460">
      <w:pPr>
        <w:tabs>
          <w:tab w:val="left" w:pos="426"/>
        </w:tabs>
        <w:spacing w:after="0"/>
        <w:jc w:val="both"/>
        <w:rPr>
          <w:rFonts w:ascii="Garamond" w:hAnsi="Garamond"/>
        </w:rPr>
      </w:pPr>
      <w:r w:rsidRPr="009622FC">
        <w:rPr>
          <w:rFonts w:ascii="Garamond" w:hAnsi="Garamond"/>
          <w:b/>
        </w:rPr>
        <w:t>For regional governments</w:t>
      </w:r>
      <w:r w:rsidRPr="009622FC">
        <w:rPr>
          <w:rFonts w:ascii="Garamond" w:hAnsi="Garamond"/>
        </w:rPr>
        <w:t xml:space="preserve">, this research recommends : </w:t>
      </w:r>
    </w:p>
    <w:p w:rsidR="00B42460" w:rsidRPr="009622FC" w:rsidRDefault="00B42460" w:rsidP="00B42460">
      <w:pPr>
        <w:tabs>
          <w:tab w:val="left" w:pos="426"/>
        </w:tabs>
        <w:spacing w:after="0"/>
        <w:jc w:val="both"/>
        <w:rPr>
          <w:rFonts w:ascii="Garamond" w:hAnsi="Garamond"/>
        </w:rPr>
      </w:pPr>
    </w:p>
    <w:p w:rsidR="00B42460" w:rsidRPr="009622FC" w:rsidRDefault="00B42460" w:rsidP="00B42460">
      <w:pPr>
        <w:pStyle w:val="ListParagraph"/>
        <w:numPr>
          <w:ilvl w:val="0"/>
          <w:numId w:val="42"/>
        </w:numPr>
        <w:tabs>
          <w:tab w:val="left" w:pos="426"/>
        </w:tabs>
        <w:spacing w:after="0"/>
        <w:jc w:val="both"/>
        <w:rPr>
          <w:rFonts w:ascii="Garamond" w:hAnsi="Garamond"/>
        </w:rPr>
      </w:pPr>
      <w:r w:rsidRPr="009622FC">
        <w:rPr>
          <w:rFonts w:ascii="Garamond" w:hAnsi="Garamond"/>
        </w:rPr>
        <w:t xml:space="preserve">Increasing the expenditure allocation on land and forest governance, and improving public finance management by making it more transparent and accountable. </w:t>
      </w:r>
    </w:p>
    <w:p w:rsidR="00B42460" w:rsidRPr="009622FC" w:rsidRDefault="00B42460" w:rsidP="00B42460">
      <w:pPr>
        <w:pStyle w:val="ListParagraph"/>
        <w:numPr>
          <w:ilvl w:val="0"/>
          <w:numId w:val="42"/>
        </w:numPr>
        <w:tabs>
          <w:tab w:val="left" w:pos="426"/>
        </w:tabs>
        <w:spacing w:after="0"/>
        <w:jc w:val="both"/>
        <w:rPr>
          <w:rFonts w:ascii="Garamond" w:hAnsi="Garamond"/>
        </w:rPr>
      </w:pPr>
      <w:r w:rsidRPr="009622FC">
        <w:rPr>
          <w:rFonts w:ascii="Garamond" w:hAnsi="Garamond"/>
        </w:rPr>
        <w:t xml:space="preserve">Developing local government innovation schemes to: </w:t>
      </w:r>
    </w:p>
    <w:p w:rsidR="00B42460" w:rsidRPr="009622FC" w:rsidRDefault="00B42460" w:rsidP="00B42460">
      <w:pPr>
        <w:pStyle w:val="ListParagraph"/>
        <w:numPr>
          <w:ilvl w:val="1"/>
          <w:numId w:val="42"/>
        </w:numPr>
        <w:tabs>
          <w:tab w:val="left" w:pos="426"/>
        </w:tabs>
        <w:spacing w:after="0"/>
        <w:jc w:val="both"/>
        <w:rPr>
          <w:rFonts w:ascii="Garamond" w:hAnsi="Garamond"/>
        </w:rPr>
      </w:pPr>
      <w:r w:rsidRPr="009622FC">
        <w:rPr>
          <w:rFonts w:ascii="Garamond" w:hAnsi="Garamond"/>
        </w:rPr>
        <w:t xml:space="preserve">Build regional government transparency, participation and accountability mechanisms in land and forest governance. This can be achieved, for example, by developing a more transparent and accountable management of reclamation guarantee funds through the establishment of an institution or system and providing an alternative scheme for public participation in overcoming and preventing environmental damage, as well as in optimally maintaining forest coverage in the regions. </w:t>
      </w:r>
    </w:p>
    <w:p w:rsidR="00B42460" w:rsidRPr="009622FC" w:rsidRDefault="00B42460" w:rsidP="00B42460">
      <w:pPr>
        <w:pStyle w:val="ListParagraph"/>
        <w:numPr>
          <w:ilvl w:val="1"/>
          <w:numId w:val="42"/>
        </w:numPr>
        <w:tabs>
          <w:tab w:val="left" w:pos="426"/>
        </w:tabs>
        <w:spacing w:after="0"/>
        <w:jc w:val="both"/>
        <w:rPr>
          <w:rFonts w:ascii="Garamond" w:hAnsi="Garamond"/>
        </w:rPr>
      </w:pPr>
      <w:r w:rsidRPr="009622FC">
        <w:rPr>
          <w:rFonts w:ascii="Garamond" w:hAnsi="Garamond"/>
        </w:rPr>
        <w:t xml:space="preserve">Adjust </w:t>
      </w:r>
      <w:r w:rsidRPr="009622FC">
        <w:rPr>
          <w:rFonts w:ascii="Garamond" w:hAnsi="Garamond"/>
          <w:color w:val="000000"/>
        </w:rPr>
        <w:t xml:space="preserve">the programs and activities in the guidelines structure in drafting the APBD each year to ensure optimal implementation of strategic activities for the prevention of deforestation and land and forest degradation. </w:t>
      </w:r>
    </w:p>
    <w:p w:rsidR="00B42460" w:rsidRPr="009622FC" w:rsidRDefault="00B42460" w:rsidP="00B42460">
      <w:pPr>
        <w:pStyle w:val="ListParagraph"/>
        <w:numPr>
          <w:ilvl w:val="1"/>
          <w:numId w:val="42"/>
        </w:numPr>
        <w:tabs>
          <w:tab w:val="left" w:pos="426"/>
        </w:tabs>
        <w:spacing w:after="0"/>
        <w:jc w:val="both"/>
        <w:rPr>
          <w:rFonts w:ascii="Garamond" w:hAnsi="Garamond"/>
        </w:rPr>
      </w:pPr>
      <w:r w:rsidRPr="009622FC">
        <w:rPr>
          <w:rFonts w:ascii="Garamond" w:hAnsi="Garamond"/>
        </w:rPr>
        <w:t xml:space="preserve">Use the internal review scheme to assess whether or not planning policies and budgets have been effective enough in preventing deforestation and land and forest degradation. </w:t>
      </w:r>
    </w:p>
    <w:p w:rsidR="00B42460" w:rsidRPr="009622FC" w:rsidRDefault="00B42460" w:rsidP="00B42460">
      <w:pPr>
        <w:pStyle w:val="ListParagraph"/>
        <w:numPr>
          <w:ilvl w:val="1"/>
          <w:numId w:val="42"/>
        </w:numPr>
        <w:tabs>
          <w:tab w:val="left" w:pos="426"/>
        </w:tabs>
        <w:spacing w:after="0"/>
        <w:jc w:val="both"/>
        <w:rPr>
          <w:rFonts w:ascii="Garamond" w:hAnsi="Garamond"/>
        </w:rPr>
      </w:pPr>
      <w:r w:rsidRPr="009622FC">
        <w:rPr>
          <w:rFonts w:ascii="Garamond" w:hAnsi="Garamond"/>
        </w:rPr>
        <w:t xml:space="preserve">Provide governance access to communities that are committed to </w:t>
      </w:r>
      <w:r w:rsidR="002E5D87" w:rsidRPr="009622FC">
        <w:rPr>
          <w:rFonts w:ascii="Garamond" w:hAnsi="Garamond"/>
        </w:rPr>
        <w:t>maintaining forest coverage in Other Use A</w:t>
      </w:r>
      <w:r w:rsidRPr="009622FC">
        <w:rPr>
          <w:rFonts w:ascii="Garamond" w:hAnsi="Garamond"/>
        </w:rPr>
        <w:t>reas (APL), remembering that the authority for APL policies lies with regional governments.</w:t>
      </w:r>
    </w:p>
    <w:p w:rsidR="00B42460" w:rsidRPr="009622FC" w:rsidRDefault="00B42460" w:rsidP="00B42460">
      <w:pPr>
        <w:pStyle w:val="ListParagraph"/>
        <w:numPr>
          <w:ilvl w:val="0"/>
          <w:numId w:val="42"/>
        </w:numPr>
        <w:tabs>
          <w:tab w:val="left" w:pos="426"/>
        </w:tabs>
        <w:spacing w:after="0"/>
        <w:jc w:val="both"/>
        <w:rPr>
          <w:rFonts w:ascii="Garamond" w:hAnsi="Garamond"/>
          <w:lang w:val="en-US"/>
        </w:rPr>
      </w:pPr>
      <w:r w:rsidRPr="009622FC">
        <w:rPr>
          <w:rFonts w:ascii="Garamond" w:hAnsi="Garamond"/>
        </w:rPr>
        <w:t xml:space="preserve">Strengthen the monitoring of regional governments to reduce the rate of deforestation and land and forest degradation. This can be done by: </w:t>
      </w:r>
    </w:p>
    <w:p w:rsidR="00B42460" w:rsidRPr="009622FC" w:rsidRDefault="00B42460" w:rsidP="00B42460">
      <w:pPr>
        <w:pStyle w:val="ListParagraph"/>
        <w:numPr>
          <w:ilvl w:val="1"/>
          <w:numId w:val="42"/>
        </w:numPr>
        <w:tabs>
          <w:tab w:val="left" w:pos="426"/>
        </w:tabs>
        <w:spacing w:after="0"/>
        <w:jc w:val="both"/>
        <w:rPr>
          <w:rFonts w:ascii="Garamond" w:hAnsi="Garamond"/>
          <w:lang w:val="en-US"/>
        </w:rPr>
      </w:pPr>
      <w:r w:rsidRPr="009622FC">
        <w:rPr>
          <w:rFonts w:ascii="Garamond" w:hAnsi="Garamond"/>
        </w:rPr>
        <w:t>Increasing the number of mining inspectors and PPNS using an alternative scheme to improve the monitoring of mining and forest areas.</w:t>
      </w:r>
    </w:p>
    <w:p w:rsidR="00B42460" w:rsidRPr="009622FC" w:rsidRDefault="00B42460" w:rsidP="00B42460">
      <w:pPr>
        <w:pStyle w:val="ListParagraph"/>
        <w:numPr>
          <w:ilvl w:val="1"/>
          <w:numId w:val="42"/>
        </w:numPr>
        <w:tabs>
          <w:tab w:val="left" w:pos="426"/>
        </w:tabs>
        <w:spacing w:after="0"/>
        <w:jc w:val="both"/>
        <w:rPr>
          <w:rFonts w:ascii="Garamond" w:hAnsi="Garamond"/>
          <w:lang w:val="en-US"/>
        </w:rPr>
      </w:pPr>
      <w:r w:rsidRPr="009622FC">
        <w:rPr>
          <w:rFonts w:ascii="Garamond" w:hAnsi="Garamond"/>
        </w:rPr>
        <w:t xml:space="preserve">Encouraging the Regional People’s Representatives Assembly (DPRD) to play a more </w:t>
      </w:r>
      <w:r w:rsidR="002E5D87" w:rsidRPr="009622FC">
        <w:rPr>
          <w:rFonts w:ascii="Garamond" w:hAnsi="Garamond"/>
        </w:rPr>
        <w:t>active</w:t>
      </w:r>
      <w:r w:rsidRPr="009622FC">
        <w:rPr>
          <w:rFonts w:ascii="Garamond" w:hAnsi="Garamond"/>
        </w:rPr>
        <w:t xml:space="preserve"> monitoring role, including by establishing a Regional Financial Accountability Agency (BAKD) in order to ensure the efficiency and effectiveness of budget management.</w:t>
      </w:r>
    </w:p>
    <w:p w:rsidR="00B42460" w:rsidRPr="009622FC" w:rsidRDefault="00B42460" w:rsidP="00B42460">
      <w:pPr>
        <w:spacing w:after="0"/>
        <w:rPr>
          <w:rFonts w:ascii="Garamond" w:hAnsi="Garamond"/>
        </w:rPr>
      </w:pPr>
    </w:p>
    <w:p w:rsidR="00B42460" w:rsidRPr="009622FC" w:rsidRDefault="00B42460" w:rsidP="00B42460">
      <w:pPr>
        <w:tabs>
          <w:tab w:val="left" w:pos="426"/>
        </w:tabs>
        <w:spacing w:after="0"/>
        <w:jc w:val="both"/>
        <w:rPr>
          <w:rFonts w:ascii="Garamond" w:hAnsi="Garamond"/>
        </w:rPr>
      </w:pPr>
      <w:r w:rsidRPr="009622FC">
        <w:rPr>
          <w:rFonts w:ascii="Garamond" w:hAnsi="Garamond"/>
          <w:b/>
        </w:rPr>
        <w:t>For civil society</w:t>
      </w:r>
      <w:r w:rsidRPr="009622FC">
        <w:rPr>
          <w:rFonts w:ascii="Garamond" w:hAnsi="Garamond"/>
        </w:rPr>
        <w:t xml:space="preserve">, this research recommends that groups: </w:t>
      </w:r>
    </w:p>
    <w:p w:rsidR="00B42460" w:rsidRPr="009622FC" w:rsidRDefault="00B42460" w:rsidP="00B42460">
      <w:pPr>
        <w:pStyle w:val="ListParagraph"/>
        <w:numPr>
          <w:ilvl w:val="0"/>
          <w:numId w:val="43"/>
        </w:numPr>
        <w:tabs>
          <w:tab w:val="left" w:pos="426"/>
        </w:tabs>
        <w:spacing w:after="0"/>
        <w:jc w:val="both"/>
        <w:rPr>
          <w:rFonts w:ascii="Garamond" w:hAnsi="Garamond"/>
        </w:rPr>
      </w:pPr>
      <w:r w:rsidRPr="009622FC">
        <w:rPr>
          <w:rFonts w:ascii="Garamond" w:hAnsi="Garamond"/>
        </w:rPr>
        <w:t xml:space="preserve">Use the results of this study as an instrument to improve budget and planning policies in the regions, and to thereby improve land and forest governance. </w:t>
      </w:r>
    </w:p>
    <w:p w:rsidR="00B42460" w:rsidRPr="009622FC" w:rsidRDefault="00B42460" w:rsidP="00B42460">
      <w:pPr>
        <w:pStyle w:val="ListParagraph"/>
        <w:numPr>
          <w:ilvl w:val="0"/>
          <w:numId w:val="43"/>
        </w:numPr>
        <w:tabs>
          <w:tab w:val="left" w:pos="426"/>
        </w:tabs>
        <w:spacing w:after="0"/>
        <w:jc w:val="both"/>
        <w:rPr>
          <w:rFonts w:ascii="Garamond" w:hAnsi="Garamond"/>
        </w:rPr>
      </w:pPr>
      <w:r w:rsidRPr="009622FC">
        <w:rPr>
          <w:rFonts w:ascii="Garamond" w:hAnsi="Garamond"/>
        </w:rPr>
        <w:t>Conduct studies related to budget policies for better land and forest governance, both at the national and local levels, as a way to increase public debate on the issue. Studies on financing benchmarks</w:t>
      </w:r>
      <w:r w:rsidRPr="009622FC">
        <w:rPr>
          <w:rFonts w:ascii="Garamond" w:hAnsi="Garamond"/>
          <w:i/>
        </w:rPr>
        <w:t xml:space="preserve"> </w:t>
      </w:r>
      <w:r w:rsidRPr="009622FC">
        <w:rPr>
          <w:rFonts w:ascii="Garamond" w:hAnsi="Garamond"/>
        </w:rPr>
        <w:t xml:space="preserve">for environmental recovery and the mitigation of deforestation and land and forest degradation also need to be followed up on. Meanwhile, studies on the loss of state revenue in the land and forest sector still need to be conducted because of the considerable amount of money being lost. </w:t>
      </w:r>
    </w:p>
    <w:p w:rsidR="00B42460" w:rsidRPr="009622FC" w:rsidRDefault="00B42460" w:rsidP="00B42460">
      <w:pPr>
        <w:pStyle w:val="ListParagraph"/>
        <w:numPr>
          <w:ilvl w:val="0"/>
          <w:numId w:val="43"/>
        </w:numPr>
        <w:tabs>
          <w:tab w:val="left" w:pos="426"/>
        </w:tabs>
        <w:spacing w:after="0"/>
        <w:jc w:val="both"/>
        <w:rPr>
          <w:rFonts w:ascii="Garamond" w:hAnsi="Garamond"/>
        </w:rPr>
      </w:pPr>
      <w:r w:rsidRPr="009622FC">
        <w:rPr>
          <w:rFonts w:ascii="Garamond" w:hAnsi="Garamond"/>
        </w:rPr>
        <w:t xml:space="preserve">Work on issues of budget policy </w:t>
      </w:r>
      <w:r w:rsidR="002E5D87" w:rsidRPr="009622FC">
        <w:rPr>
          <w:rFonts w:ascii="Garamond" w:hAnsi="Garamond"/>
        </w:rPr>
        <w:t xml:space="preserve">that </w:t>
      </w:r>
      <w:r w:rsidRPr="009622FC">
        <w:rPr>
          <w:rFonts w:ascii="Garamond" w:hAnsi="Garamond"/>
        </w:rPr>
        <w:t xml:space="preserve">support a stronger civil society movement for land and forest governance, as part of strengthening Indonesian civil society in general. </w:t>
      </w:r>
    </w:p>
    <w:p w:rsidR="00B42460" w:rsidRPr="009622FC" w:rsidRDefault="00B42460" w:rsidP="00B42460">
      <w:pPr>
        <w:pStyle w:val="ListParagraph"/>
        <w:numPr>
          <w:ilvl w:val="0"/>
          <w:numId w:val="43"/>
        </w:numPr>
        <w:tabs>
          <w:tab w:val="left" w:pos="426"/>
        </w:tabs>
        <w:spacing w:after="0"/>
        <w:jc w:val="both"/>
        <w:rPr>
          <w:rFonts w:ascii="Garamond" w:hAnsi="Garamond"/>
        </w:rPr>
      </w:pPr>
      <w:r w:rsidRPr="009622FC">
        <w:rPr>
          <w:rFonts w:ascii="Garamond" w:hAnsi="Garamond"/>
          <w:color w:val="000000"/>
        </w:rPr>
        <w:lastRenderedPageBreak/>
        <w:t>Advocate for</w:t>
      </w:r>
      <w:r w:rsidR="002E5D87" w:rsidRPr="009622FC">
        <w:rPr>
          <w:rFonts w:ascii="Garamond" w:hAnsi="Garamond"/>
          <w:color w:val="000000"/>
        </w:rPr>
        <w:t xml:space="preserve"> public</w:t>
      </w:r>
      <w:r w:rsidRPr="009622FC">
        <w:rPr>
          <w:rFonts w:ascii="Garamond" w:hAnsi="Garamond"/>
          <w:color w:val="000000"/>
        </w:rPr>
        <w:t xml:space="preserve"> involvement in the process of preparing and monitoring budgets so that the rights and aspirations of communities can be adequately considered by governments in drafting budgets, including aspirations for the conservation of natural resources and prevention of deforestation.</w:t>
      </w:r>
    </w:p>
    <w:p w:rsidR="00B42460" w:rsidRPr="009622FC" w:rsidRDefault="00B42460" w:rsidP="00B42460">
      <w:pPr>
        <w:pStyle w:val="ListParagraph"/>
        <w:tabs>
          <w:tab w:val="left" w:pos="426"/>
        </w:tabs>
        <w:spacing w:after="0"/>
        <w:ind w:left="360"/>
        <w:jc w:val="both"/>
        <w:rPr>
          <w:rFonts w:ascii="Garamond" w:hAnsi="Garamond"/>
        </w:rPr>
      </w:pPr>
    </w:p>
    <w:p w:rsidR="00B42460" w:rsidRPr="009622FC" w:rsidRDefault="00B42460" w:rsidP="00B42460">
      <w:pPr>
        <w:tabs>
          <w:tab w:val="left" w:pos="426"/>
        </w:tabs>
        <w:spacing w:after="0"/>
        <w:jc w:val="both"/>
        <w:rPr>
          <w:rFonts w:ascii="Garamond" w:hAnsi="Garamond"/>
          <w:b/>
          <w:sz w:val="28"/>
        </w:rPr>
        <w:sectPr w:rsidR="00B42460" w:rsidRPr="009622FC">
          <w:pgSz w:w="11907" w:h="16840" w:code="9"/>
          <w:pgMar w:top="1134" w:right="1134" w:bottom="1134" w:left="1701" w:header="720" w:footer="720" w:gutter="0"/>
          <w:pgNumType w:start="1"/>
          <w:cols w:space="720"/>
          <w:docGrid w:linePitch="360"/>
        </w:sectPr>
      </w:pPr>
      <w:r w:rsidRPr="009622FC">
        <w:rPr>
          <w:rFonts w:ascii="Garamond" w:hAnsi="Garamond"/>
          <w:b/>
          <w:sz w:val="28"/>
        </w:rPr>
        <w:t xml:space="preserve"> </w:t>
      </w:r>
    </w:p>
    <w:tbl>
      <w:tblPr>
        <w:tblW w:w="9779" w:type="dxa"/>
        <w:tblInd w:w="108" w:type="dxa"/>
        <w:tblLook w:val="04A0"/>
      </w:tblPr>
      <w:tblGrid>
        <w:gridCol w:w="9779"/>
      </w:tblGrid>
      <w:tr w:rsidR="00B42460" w:rsidRPr="009622FC">
        <w:trPr>
          <w:trHeight w:val="432"/>
        </w:trPr>
        <w:tc>
          <w:tcPr>
            <w:tcW w:w="9779" w:type="dxa"/>
            <w:shd w:val="clear" w:color="auto" w:fill="auto"/>
            <w:vAlign w:val="center"/>
          </w:tcPr>
          <w:p w:rsidR="00B42460" w:rsidRDefault="00B42460" w:rsidP="00B42460">
            <w:pPr>
              <w:pStyle w:val="NoSpacing"/>
              <w:rPr>
                <w:rFonts w:ascii="Garamond" w:hAnsi="Garamond"/>
                <w:b/>
                <w:sz w:val="28"/>
                <w:szCs w:val="24"/>
                <w:lang w:val="en-US"/>
              </w:rPr>
            </w:pPr>
            <w:r w:rsidRPr="009622FC">
              <w:rPr>
                <w:rFonts w:ascii="Garamond" w:hAnsi="Garamond"/>
                <w:b/>
                <w:sz w:val="28"/>
                <w:szCs w:val="24"/>
              </w:rPr>
              <w:lastRenderedPageBreak/>
              <w:t>Biblio</w:t>
            </w:r>
            <w:r w:rsidR="00D018C6">
              <w:rPr>
                <w:rFonts w:ascii="Garamond" w:hAnsi="Garamond"/>
                <w:b/>
                <w:sz w:val="28"/>
                <w:szCs w:val="24"/>
                <w:lang w:val="en-US"/>
              </w:rPr>
              <w:t>g</w:t>
            </w:r>
            <w:r w:rsidR="00D018C6">
              <w:rPr>
                <w:rFonts w:ascii="Garamond" w:hAnsi="Garamond"/>
                <w:b/>
                <w:sz w:val="28"/>
                <w:szCs w:val="24"/>
              </w:rPr>
              <w:t>raph</w:t>
            </w:r>
            <w:r w:rsidRPr="009622FC">
              <w:rPr>
                <w:rFonts w:ascii="Garamond" w:hAnsi="Garamond"/>
                <w:b/>
                <w:sz w:val="28"/>
                <w:szCs w:val="24"/>
              </w:rPr>
              <w:t>y</w:t>
            </w:r>
          </w:p>
          <w:p w:rsidR="00D018C6" w:rsidRPr="00D018C6" w:rsidRDefault="00D018C6" w:rsidP="00B42460">
            <w:pPr>
              <w:pStyle w:val="NoSpacing"/>
              <w:rPr>
                <w:rFonts w:ascii="Garamond" w:hAnsi="Garamond"/>
                <w:b/>
                <w:sz w:val="28"/>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Badan Pusat Statistik Kalimantan Barat, 2012, </w:t>
            </w:r>
            <w:r w:rsidRPr="009622FC">
              <w:rPr>
                <w:rFonts w:ascii="Garamond" w:hAnsi="Garamond"/>
                <w:i/>
                <w:sz w:val="24"/>
                <w:szCs w:val="24"/>
              </w:rPr>
              <w:t>Daerah Dalam Angka 2012</w:t>
            </w:r>
            <w:r w:rsidRPr="009622FC">
              <w:rPr>
                <w:rFonts w:ascii="Garamond" w:hAnsi="Garamond"/>
                <w:sz w:val="24"/>
                <w:szCs w:val="24"/>
              </w:rPr>
              <w:t>. Pontianak.</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Badan Pusat Statistik Kalimantan Timur, 2012, </w:t>
            </w:r>
            <w:r w:rsidRPr="009622FC">
              <w:rPr>
                <w:rFonts w:ascii="Garamond" w:hAnsi="Garamond"/>
                <w:i/>
                <w:sz w:val="24"/>
                <w:szCs w:val="24"/>
              </w:rPr>
              <w:t>Daerah Dalam Angka 2012</w:t>
            </w:r>
            <w:r w:rsidRPr="009622FC">
              <w:rPr>
                <w:rFonts w:ascii="Garamond" w:hAnsi="Garamond"/>
                <w:sz w:val="24"/>
                <w:szCs w:val="24"/>
              </w:rPr>
              <w:t>. Samarinda.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Badan Pusat Statistik Sumatra Selatan, 2012 </w:t>
            </w:r>
            <w:r w:rsidRPr="009622FC">
              <w:rPr>
                <w:rFonts w:ascii="Garamond" w:hAnsi="Garamond"/>
                <w:i/>
                <w:sz w:val="24"/>
                <w:szCs w:val="24"/>
              </w:rPr>
              <w:t>Daerah Dalam Angka 2012</w:t>
            </w:r>
            <w:r w:rsidRPr="009622FC">
              <w:rPr>
                <w:rFonts w:ascii="Garamond" w:hAnsi="Garamond"/>
                <w:sz w:val="24"/>
                <w:szCs w:val="24"/>
              </w:rPr>
              <w:t>. Palembang.</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CIFOR</w:t>
            </w:r>
            <w:r w:rsidRPr="009622FC">
              <w:rPr>
                <w:rFonts w:ascii="Garamond" w:hAnsi="Garamond"/>
                <w:i/>
                <w:sz w:val="24"/>
                <w:szCs w:val="24"/>
              </w:rPr>
              <w:t>, 2011, Tata Kelola Keuangan dan Dana Reboisasi selama Periode Soeharto dan Paska Soeharto 1998 – 2009</w:t>
            </w:r>
            <w:r w:rsidRPr="009622FC">
              <w:rPr>
                <w:rFonts w:ascii="Garamond" w:hAnsi="Garamond"/>
                <w:sz w:val="24"/>
                <w:szCs w:val="24"/>
              </w:rPr>
              <w:t>. Bogor.</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Direktorat Jenderal Perimbangan Keuangan (DJPK) – Kemenkeu RI, </w:t>
            </w:r>
            <w:r w:rsidRPr="009622FC">
              <w:rPr>
                <w:rFonts w:ascii="Garamond" w:hAnsi="Garamond"/>
                <w:i/>
                <w:sz w:val="24"/>
                <w:szCs w:val="24"/>
              </w:rPr>
              <w:t>2011, Deskripsi dan Analisis APBD TA. 2011,</w:t>
            </w:r>
            <w:r w:rsidRPr="009622FC">
              <w:rPr>
                <w:rFonts w:ascii="Garamond" w:hAnsi="Garamond"/>
                <w:sz w:val="24"/>
                <w:szCs w:val="24"/>
              </w:rPr>
              <w:t xml:space="preserve">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Direktorat Jenderal Perimbangan Keuangan (DJPK) – Kemenkeu RI, 2012, </w:t>
            </w:r>
            <w:r w:rsidRPr="009622FC">
              <w:rPr>
                <w:rFonts w:ascii="Garamond" w:hAnsi="Garamond"/>
                <w:i/>
                <w:sz w:val="24"/>
                <w:szCs w:val="24"/>
              </w:rPr>
              <w:t>Konsolidasi laporan keuangan pemerintah daerah dengan laporan keuangan transfer ke daerah tahun anggaran 2008 &amp; 2009</w:t>
            </w:r>
            <w:r w:rsidRPr="009622FC">
              <w:rPr>
                <w:rFonts w:ascii="Garamond" w:hAnsi="Garamond"/>
                <w:sz w:val="24"/>
                <w:szCs w:val="24"/>
              </w:rPr>
              <w:t>, Direktorat Jenderal Perimbangan Keuangan, Kemenkeu RI,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Direktorat Jenderal Perkebunan, Kementerian Pertanian, 2012: </w:t>
            </w:r>
            <w:r w:rsidRPr="009622FC">
              <w:rPr>
                <w:rFonts w:ascii="Garamond" w:hAnsi="Garamond"/>
                <w:i/>
                <w:sz w:val="24"/>
                <w:szCs w:val="24"/>
              </w:rPr>
              <w:t>Profil Kelapa Sawit di Indonesia</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Direktorat Jenderal Planologi Kehutanan, 2012, </w:t>
            </w:r>
            <w:r w:rsidRPr="009622FC">
              <w:rPr>
                <w:rFonts w:ascii="Garamond" w:hAnsi="Garamond"/>
                <w:i/>
                <w:sz w:val="24"/>
                <w:szCs w:val="24"/>
              </w:rPr>
              <w:t>Data dan Informasi Ditjen Planologi tahun 2012</w:t>
            </w:r>
            <w:r w:rsidRPr="009622FC">
              <w:rPr>
                <w:rFonts w:ascii="Garamond" w:hAnsi="Garamond"/>
                <w:sz w:val="24"/>
                <w:szCs w:val="24"/>
              </w:rPr>
              <w:t>. Kementerian Kehutanan,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Direktorat Wilayah Pengelolaan dan Penyiapan Areal Pemanfaatan Hutan Direktorat Jenderal Planologi Kehutanan, 2011, </w:t>
            </w:r>
            <w:r w:rsidRPr="009622FC">
              <w:rPr>
                <w:rFonts w:ascii="Garamond" w:hAnsi="Garamond"/>
                <w:i/>
                <w:sz w:val="24"/>
                <w:szCs w:val="24"/>
              </w:rPr>
              <w:t>Data dan Informasi Pemanfaatan Hutan tahun 2011</w:t>
            </w:r>
            <w:r w:rsidRPr="009622FC">
              <w:rPr>
                <w:rFonts w:ascii="Garamond" w:hAnsi="Garamond"/>
                <w:sz w:val="24"/>
                <w:szCs w:val="24"/>
              </w:rPr>
              <w:t>. Kementerian Kehutanan,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http://www.antarabengkulu.com/berita/18940/hutan-harapan-terancam-tambang-batubara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http://www.fwi.or.id/tag/intip-hutan/</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http://www.geodata-cso.org/index.php/page/index/6</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http://www.health.liputan6.com/read/494714/menkes-orang-indonesia-konsumsi-10-batang-rokok-per-hari</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http://www.pusdatin.setjen.deptan.go.id/ditjentp/berita-cetak-ribuan-hektar-sawah-baru-kalbar-percepat-pengembangan-food-estate.html</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http://www.regional.kompas.com/read/2013/09/27/1000488/Konflik.Lahan.Terus.Muncul</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 xml:space="preserve">Indonesian Center for Environment Law (ICEL), 2011, </w:t>
            </w:r>
            <w:r w:rsidRPr="009622FC">
              <w:rPr>
                <w:rFonts w:ascii="Garamond" w:hAnsi="Garamond"/>
                <w:i/>
                <w:sz w:val="24"/>
                <w:szCs w:val="24"/>
              </w:rPr>
              <w:t>Research Report: Potret Reklamasi dan Pasca Tambang di Indonesia</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Indonesia Corruption Watch, 2012, </w:t>
            </w:r>
            <w:r w:rsidRPr="009622FC">
              <w:rPr>
                <w:rFonts w:ascii="Garamond" w:hAnsi="Garamond"/>
                <w:i/>
                <w:sz w:val="24"/>
                <w:szCs w:val="24"/>
              </w:rPr>
              <w:t>Setengah Hati Berantas Kejahatan Kehutanan</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Jatam, 2012, Presentation: “Tambang dan Keselamatan Rakyat”, Jakarta.</w:t>
            </w: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lastRenderedPageBreak/>
              <w:t xml:space="preserve">Kementerian Koordinator Bidang Perekonomian, 2011, </w:t>
            </w:r>
            <w:r w:rsidRPr="009622FC">
              <w:rPr>
                <w:rFonts w:ascii="Garamond" w:hAnsi="Garamond"/>
                <w:i/>
                <w:sz w:val="24"/>
                <w:szCs w:val="24"/>
              </w:rPr>
              <w:t>Masterplan Percepatan dan Perluasan Pembangunan Ekonomi Indonesia (MP3EI)</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KOMPPAK, 2013, </w:t>
            </w:r>
            <w:r w:rsidRPr="009622FC">
              <w:rPr>
                <w:rFonts w:ascii="Garamond" w:hAnsi="Garamond"/>
                <w:i/>
                <w:sz w:val="24"/>
                <w:szCs w:val="24"/>
              </w:rPr>
              <w:t>Menyediakan Taring bagi Macan yang Ompong: Tanggapan Kelompok Sipil atas Rancangan Peraturan Daerah tentang Reklamasi dan Paska Tambang</w:t>
            </w:r>
            <w:r w:rsidRPr="009622FC">
              <w:rPr>
                <w:rFonts w:ascii="Garamond" w:hAnsi="Garamond"/>
                <w:sz w:val="24"/>
                <w:szCs w:val="24"/>
              </w:rPr>
              <w:t>, Kertas Posisi, Balikpapan.</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Mumbunan, S., Wahyudi, R., 2012, </w:t>
            </w:r>
            <w:r w:rsidRPr="009622FC">
              <w:rPr>
                <w:rFonts w:ascii="Garamond" w:hAnsi="Garamond"/>
                <w:i/>
                <w:sz w:val="24"/>
                <w:szCs w:val="24"/>
              </w:rPr>
              <w:t>Transparansi Penerimaan Industri Ekstratktif Sektor Kehutanan di Indonesia</w:t>
            </w:r>
            <w:r w:rsidRPr="009622FC">
              <w:rPr>
                <w:rFonts w:ascii="Garamond" w:hAnsi="Garamond"/>
                <w:sz w:val="24"/>
                <w:szCs w:val="24"/>
              </w:rPr>
              <w:t>, Article 33, Jakarta.</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Ministerial Regulation of Forestry of Republic of Indonesia  Number: P. 30/Menhut-Ii/2010 on Amendment of Ministerial Regulation of Forestry Number P.9/Menhut-Ii/2010 on </w:t>
            </w:r>
            <w:r w:rsidRPr="009622FC">
              <w:rPr>
                <w:rFonts w:ascii="Garamond" w:hAnsi="Garamond"/>
                <w:i/>
                <w:sz w:val="24"/>
                <w:szCs w:val="24"/>
              </w:rPr>
              <w:t xml:space="preserve">Permit of </w:t>
            </w:r>
            <w:r w:rsidR="00E024BA">
              <w:rPr>
                <w:rFonts w:ascii="Garamond" w:hAnsi="Garamond"/>
                <w:i/>
                <w:sz w:val="24"/>
                <w:szCs w:val="24"/>
              </w:rPr>
              <w:t>Corridor Construction and Utili</w:t>
            </w:r>
            <w:r w:rsidR="00E024BA">
              <w:rPr>
                <w:rFonts w:ascii="Garamond" w:hAnsi="Garamond"/>
                <w:i/>
                <w:sz w:val="24"/>
                <w:szCs w:val="24"/>
                <w:lang w:val="en-US"/>
              </w:rPr>
              <w:t>s</w:t>
            </w:r>
            <w:r w:rsidRPr="009622FC">
              <w:rPr>
                <w:rFonts w:ascii="Garamond" w:hAnsi="Garamond"/>
                <w:i/>
                <w:sz w:val="24"/>
                <w:szCs w:val="24"/>
              </w:rPr>
              <w:t>ation.</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Ministerial Regulation of Home Affairs Number 32/2012 concerning </w:t>
            </w:r>
            <w:r w:rsidRPr="009622FC">
              <w:rPr>
                <w:rFonts w:ascii="Garamond" w:hAnsi="Garamond"/>
                <w:i/>
                <w:sz w:val="24"/>
                <w:szCs w:val="24"/>
              </w:rPr>
              <w:t>Guidelines of Grant and Social Assistance from APBD</w:t>
            </w:r>
            <w:r w:rsidRPr="009622FC">
              <w:rPr>
                <w:rFonts w:ascii="Garamond" w:hAnsi="Garamond"/>
                <w:sz w:val="24"/>
                <w:szCs w:val="24"/>
              </w:rPr>
              <w:t>.</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Government Regulation Number 15 of 2010 concerning </w:t>
            </w:r>
            <w:r w:rsidRPr="009622FC">
              <w:rPr>
                <w:rFonts w:ascii="Garamond" w:hAnsi="Garamond"/>
                <w:i/>
                <w:sz w:val="24"/>
                <w:szCs w:val="24"/>
              </w:rPr>
              <w:t>Implementation of Spatial Zoning</w:t>
            </w:r>
            <w:r w:rsidRPr="009622FC">
              <w:rPr>
                <w:rFonts w:ascii="Garamond" w:hAnsi="Garamond"/>
                <w:sz w:val="24"/>
                <w:szCs w:val="24"/>
              </w:rPr>
              <w:t>.</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Pemerintah Kabupaten Kubu Raya, 2009, </w:t>
            </w:r>
            <w:r w:rsidRPr="009622FC">
              <w:rPr>
                <w:rFonts w:ascii="Garamond" w:hAnsi="Garamond"/>
                <w:i/>
                <w:sz w:val="24"/>
                <w:szCs w:val="24"/>
              </w:rPr>
              <w:t>Rencana Pemerintah Jangka Menengah Dareah 2009-2014</w:t>
            </w:r>
            <w:r w:rsidRPr="009622FC">
              <w:rPr>
                <w:rFonts w:ascii="Garamond" w:hAnsi="Garamond"/>
                <w:sz w:val="24"/>
                <w:szCs w:val="24"/>
              </w:rPr>
              <w:t>, Kubu Raya.</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Pemerintah Kabupaten Berau, 2012, </w:t>
            </w:r>
            <w:r w:rsidRPr="009622FC">
              <w:rPr>
                <w:rFonts w:ascii="Garamond" w:hAnsi="Garamond"/>
                <w:i/>
                <w:sz w:val="24"/>
                <w:szCs w:val="24"/>
              </w:rPr>
              <w:t xml:space="preserve">Rencana Kerja Pemerintah Daerah Kabupaten BerauTahun 2013. </w:t>
            </w:r>
            <w:r w:rsidRPr="009622FC">
              <w:rPr>
                <w:rFonts w:ascii="Garamond" w:hAnsi="Garamond"/>
                <w:sz w:val="24"/>
                <w:szCs w:val="24"/>
              </w:rPr>
              <w:t>Berau.</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Pemerintah Provinsi Kalimantan Barat. 2012, </w:t>
            </w:r>
            <w:r w:rsidRPr="009622FC">
              <w:rPr>
                <w:rFonts w:ascii="Garamond" w:hAnsi="Garamond"/>
                <w:i/>
                <w:sz w:val="24"/>
                <w:szCs w:val="24"/>
              </w:rPr>
              <w:t>Rencana Kerja Pemerintah Daerah Provinsi Kalimantan Barat Tahun 2013.</w:t>
            </w:r>
            <w:r w:rsidRPr="009622FC">
              <w:rPr>
                <w:rFonts w:ascii="Garamond" w:hAnsi="Garamond"/>
                <w:sz w:val="24"/>
                <w:szCs w:val="24"/>
              </w:rPr>
              <w:t xml:space="preserve"> Pontianak.</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Pemerintah Provinsi Kalimantan Timur, 2012,  </w:t>
            </w:r>
            <w:r w:rsidRPr="009622FC">
              <w:rPr>
                <w:rFonts w:ascii="Garamond" w:hAnsi="Garamond"/>
                <w:i/>
                <w:sz w:val="24"/>
                <w:szCs w:val="24"/>
              </w:rPr>
              <w:t xml:space="preserve">Rencana Kerja Pemerintah Daerah Provinsi Kalimantan Timur Tahun 2013. </w:t>
            </w:r>
            <w:r w:rsidRPr="009622FC">
              <w:rPr>
                <w:rFonts w:ascii="Garamond" w:hAnsi="Garamond"/>
                <w:sz w:val="24"/>
                <w:szCs w:val="24"/>
              </w:rPr>
              <w:t>Samarinda.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Pemerintah Provinsi Sumatera Selatan, 2012, </w:t>
            </w:r>
            <w:r w:rsidRPr="009622FC">
              <w:rPr>
                <w:rFonts w:ascii="Garamond" w:hAnsi="Garamond"/>
                <w:i/>
                <w:sz w:val="24"/>
                <w:szCs w:val="24"/>
              </w:rPr>
              <w:t>Rencana Kerja Pemerintah Daerah Provinsi Sumatera Selatan Tahun 2013.</w:t>
            </w:r>
            <w:r w:rsidRPr="009622FC">
              <w:rPr>
                <w:rFonts w:ascii="Garamond" w:hAnsi="Garamond"/>
                <w:sz w:val="24"/>
                <w:szCs w:val="24"/>
              </w:rPr>
              <w:t xml:space="preserve"> Palembang.</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 xml:space="preserve">Pusat Kajian Antropologi Universitas Indonesia, 2013,  </w:t>
            </w:r>
            <w:r w:rsidRPr="009622FC">
              <w:rPr>
                <w:rFonts w:ascii="Garamond" w:hAnsi="Garamond"/>
                <w:i/>
                <w:sz w:val="24"/>
                <w:szCs w:val="24"/>
              </w:rPr>
              <w:t>Analisis Ekonomi Politik dan Agenda Perubahan Tata Kelola Hutan dan Lahan di Provinsi Sumatera Selatan</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Seknas FITRA dan Asia Foundation, 2012,  </w:t>
            </w:r>
            <w:r w:rsidRPr="009622FC">
              <w:rPr>
                <w:rFonts w:ascii="Garamond" w:hAnsi="Garamond"/>
                <w:i/>
                <w:sz w:val="24"/>
                <w:szCs w:val="24"/>
              </w:rPr>
              <w:t>Analisis Anggaran Daerah 2011; Studi Terhadap APBD Tahun 2008-2011 di 20 Kabupaten/Kota di 4 Provinsi</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Seknas FITRA dan Asia Foundation, 2011, </w:t>
            </w:r>
            <w:r w:rsidRPr="009622FC">
              <w:rPr>
                <w:rFonts w:ascii="Garamond" w:hAnsi="Garamond"/>
                <w:i/>
                <w:sz w:val="24"/>
                <w:szCs w:val="24"/>
              </w:rPr>
              <w:t>Studi Anggaran Daerah 2010; Studi terhadap Anggaran Tahun 2007</w:t>
            </w:r>
            <w:r w:rsidRPr="009622FC">
              <w:rPr>
                <w:rFonts w:ascii="Cambria Math" w:hAnsi="Cambria Math" w:cs="Cambria Math"/>
                <w:i/>
                <w:sz w:val="24"/>
                <w:szCs w:val="24"/>
              </w:rPr>
              <w:t>‐</w:t>
            </w:r>
            <w:r w:rsidRPr="009622FC">
              <w:rPr>
                <w:rFonts w:ascii="Garamond" w:hAnsi="Garamond"/>
                <w:i/>
                <w:sz w:val="24"/>
                <w:szCs w:val="24"/>
              </w:rPr>
              <w:t>2010 di 42 kabupaten/kota dan 5 provinsi</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Seknas FITRA dan Asia Foundation, 2013, </w:t>
            </w:r>
            <w:r w:rsidRPr="009622FC">
              <w:rPr>
                <w:rFonts w:ascii="Garamond" w:hAnsi="Garamond"/>
                <w:i/>
                <w:sz w:val="24"/>
                <w:szCs w:val="24"/>
              </w:rPr>
              <w:t>Mengukur Komitmen: Analisis  Kebijakan Perencanaan dan Anggaran Nasional dalam Pengelolaan Hutan dan Lahan</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D94F38" w:rsidRDefault="00D94F38" w:rsidP="00B42460">
            <w:pPr>
              <w:pStyle w:val="NoSpacing"/>
              <w:rPr>
                <w:rFonts w:ascii="Garamond" w:hAnsi="Garamond"/>
                <w:sz w:val="24"/>
                <w:szCs w:val="24"/>
                <w:lang w:val="en-US"/>
              </w:rPr>
            </w:pPr>
          </w:p>
          <w:p w:rsidR="00D94F38" w:rsidRDefault="00D94F38" w:rsidP="00B42460">
            <w:pPr>
              <w:pStyle w:val="NoSpacing"/>
              <w:rPr>
                <w:rFonts w:ascii="Garamond" w:hAnsi="Garamond"/>
                <w:sz w:val="24"/>
                <w:szCs w:val="24"/>
                <w:lang w:val="en-US"/>
              </w:rPr>
            </w:pPr>
          </w:p>
          <w:p w:rsidR="00D94F38" w:rsidRDefault="00D94F38" w:rsidP="00B42460">
            <w:pPr>
              <w:pStyle w:val="NoSpacing"/>
              <w:rPr>
                <w:rFonts w:ascii="Garamond" w:hAnsi="Garamond"/>
                <w:sz w:val="24"/>
                <w:szCs w:val="24"/>
                <w:lang w:val="en-US"/>
              </w:rPr>
            </w:pPr>
          </w:p>
          <w:p w:rsidR="00B42460" w:rsidRPr="00D94F38" w:rsidRDefault="00B42460" w:rsidP="00B42460">
            <w:pPr>
              <w:pStyle w:val="NoSpacing"/>
              <w:rPr>
                <w:rFonts w:ascii="Garamond" w:hAnsi="Garamond" w:cs="Calibri"/>
                <w:sz w:val="24"/>
                <w:szCs w:val="24"/>
                <w:lang w:val="en-US"/>
              </w:rPr>
            </w:pPr>
            <w:r w:rsidRPr="009622FC">
              <w:rPr>
                <w:rFonts w:ascii="Garamond" w:hAnsi="Garamond"/>
                <w:sz w:val="24"/>
                <w:szCs w:val="24"/>
              </w:rPr>
              <w:lastRenderedPageBreak/>
              <w:t xml:space="preserve">Sekolah Tinggi Pertanahan Nasional, 2013, </w:t>
            </w:r>
            <w:r w:rsidRPr="009622FC">
              <w:rPr>
                <w:rFonts w:ascii="Garamond" w:hAnsi="Garamond"/>
                <w:i/>
                <w:sz w:val="24"/>
                <w:szCs w:val="24"/>
              </w:rPr>
              <w:t>Bhumi Jurnal Ilmiah Tertanahan PPPM – STPN</w:t>
            </w:r>
            <w:r w:rsidRPr="009622FC">
              <w:rPr>
                <w:rFonts w:ascii="Garamond" w:hAnsi="Garamond"/>
                <w:sz w:val="24"/>
                <w:szCs w:val="24"/>
              </w:rPr>
              <w:t xml:space="preserve"> nomor 37 tahun 12, Yogjakarta.</w:t>
            </w: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lastRenderedPageBreak/>
              <w:t xml:space="preserve">The Asia Foundation, 2002, </w:t>
            </w:r>
            <w:r w:rsidRPr="009622FC">
              <w:rPr>
                <w:rFonts w:ascii="Garamond" w:hAnsi="Garamond"/>
                <w:i/>
                <w:sz w:val="24"/>
                <w:szCs w:val="24"/>
              </w:rPr>
              <w:t>Lap</w:t>
            </w:r>
            <w:r w:rsidR="00E024BA">
              <w:rPr>
                <w:rFonts w:ascii="Garamond" w:hAnsi="Garamond"/>
                <w:i/>
                <w:sz w:val="24"/>
                <w:szCs w:val="24"/>
              </w:rPr>
              <w:t>oran Indonesia Rapid Decentrali</w:t>
            </w:r>
            <w:r w:rsidR="00E024BA">
              <w:rPr>
                <w:rFonts w:ascii="Garamond" w:hAnsi="Garamond"/>
                <w:i/>
                <w:sz w:val="24"/>
                <w:szCs w:val="24"/>
                <w:lang w:val="en-US"/>
              </w:rPr>
              <w:t>s</w:t>
            </w:r>
            <w:r w:rsidRPr="009622FC">
              <w:rPr>
                <w:rFonts w:ascii="Garamond" w:hAnsi="Garamond"/>
                <w:i/>
                <w:sz w:val="24"/>
                <w:szCs w:val="24"/>
              </w:rPr>
              <w:t xml:space="preserve">ation Appraisal (IRDA) Kedua (Juni-November 2002), </w:t>
            </w:r>
            <w:r w:rsidRPr="009622FC">
              <w:rPr>
                <w:rFonts w:ascii="Garamond" w:hAnsi="Garamond"/>
                <w:sz w:val="24"/>
                <w:szCs w:val="24"/>
              </w:rPr>
              <w:t>The Asia Foundation,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Law Number 27 of 2007 concerning </w:t>
            </w:r>
            <w:r w:rsidRPr="009622FC">
              <w:rPr>
                <w:rFonts w:ascii="Garamond" w:hAnsi="Garamond"/>
                <w:i/>
                <w:sz w:val="24"/>
                <w:szCs w:val="24"/>
              </w:rPr>
              <w:t>Spatial Zoning</w:t>
            </w:r>
            <w:r w:rsidRPr="009622FC">
              <w:rPr>
                <w:rFonts w:ascii="Garamond" w:hAnsi="Garamond"/>
                <w:sz w:val="24"/>
                <w:szCs w:val="24"/>
              </w:rPr>
              <w:t>.</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Law Number 33 of 2004 concerning </w:t>
            </w:r>
            <w:r w:rsidRPr="009622FC">
              <w:rPr>
                <w:rFonts w:ascii="Garamond" w:hAnsi="Garamond"/>
                <w:i/>
                <w:sz w:val="24"/>
                <w:szCs w:val="24"/>
              </w:rPr>
              <w:t>Financial Distribution between Central and Regional Governments</w:t>
            </w:r>
            <w:r w:rsidRPr="009622FC">
              <w:rPr>
                <w:rFonts w:ascii="Garamond" w:hAnsi="Garamond"/>
                <w:sz w:val="24"/>
                <w:szCs w:val="24"/>
              </w:rPr>
              <w:t>.</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Law Number 35 of 2007 </w:t>
            </w:r>
            <w:r w:rsidRPr="009622FC">
              <w:rPr>
                <w:rFonts w:ascii="Garamond" w:hAnsi="Garamond"/>
                <w:i/>
                <w:sz w:val="24"/>
                <w:szCs w:val="24"/>
              </w:rPr>
              <w:t>concerning Establishment of Kubu Raya Province in West Kalimantan Province</w:t>
            </w:r>
            <w:r w:rsidRPr="009622FC">
              <w:rPr>
                <w:rFonts w:ascii="Garamond" w:hAnsi="Garamond"/>
                <w:sz w:val="24"/>
                <w:szCs w:val="24"/>
              </w:rPr>
              <w:t>.</w:t>
            </w:r>
          </w:p>
          <w:p w:rsidR="00B42460" w:rsidRPr="009622FC" w:rsidRDefault="00B42460" w:rsidP="00B42460">
            <w:pPr>
              <w:pStyle w:val="NoSpacing"/>
              <w:rPr>
                <w:rFonts w:ascii="Garamond" w:hAnsi="Garamond" w:cs="Calibri"/>
                <w:sz w:val="24"/>
                <w:szCs w:val="24"/>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lang w:val="en-US"/>
              </w:rPr>
            </w:pPr>
            <w:r w:rsidRPr="009622FC">
              <w:rPr>
                <w:rFonts w:ascii="Garamond" w:hAnsi="Garamond"/>
                <w:sz w:val="24"/>
                <w:szCs w:val="24"/>
              </w:rPr>
              <w:t xml:space="preserve">World Bank, 2013, </w:t>
            </w:r>
            <w:r w:rsidRPr="009622FC">
              <w:rPr>
                <w:rFonts w:ascii="Garamond" w:hAnsi="Garamond"/>
                <w:i/>
                <w:sz w:val="24"/>
                <w:szCs w:val="24"/>
              </w:rPr>
              <w:t>Country Enviromental Assessment, Investing in A More Sustainable Indonesia</w:t>
            </w:r>
            <w:r w:rsidRPr="009622FC">
              <w:rPr>
                <w:rFonts w:ascii="Garamond" w:hAnsi="Garamond"/>
                <w:sz w:val="24"/>
                <w:szCs w:val="24"/>
              </w:rPr>
              <w:t>, Jakarta.</w:t>
            </w:r>
          </w:p>
          <w:p w:rsidR="00B42460" w:rsidRPr="009622FC" w:rsidRDefault="00B42460" w:rsidP="00B42460">
            <w:pPr>
              <w:pStyle w:val="NoSpacing"/>
              <w:rPr>
                <w:rFonts w:ascii="Garamond" w:hAnsi="Garamond" w:cs="Calibri"/>
                <w:sz w:val="24"/>
                <w:szCs w:val="24"/>
                <w:lang w:val="en-US"/>
              </w:rPr>
            </w:pPr>
          </w:p>
        </w:tc>
      </w:tr>
      <w:tr w:rsidR="00B42460" w:rsidRPr="009622FC">
        <w:trPr>
          <w:trHeight w:val="432"/>
        </w:trPr>
        <w:tc>
          <w:tcPr>
            <w:tcW w:w="9779" w:type="dxa"/>
            <w:shd w:val="clear" w:color="auto" w:fill="auto"/>
            <w:vAlign w:val="center"/>
          </w:tcPr>
          <w:p w:rsidR="00B42460" w:rsidRPr="009622FC" w:rsidRDefault="00B42460" w:rsidP="00B42460">
            <w:pPr>
              <w:pStyle w:val="NoSpacing"/>
              <w:rPr>
                <w:rFonts w:ascii="Garamond" w:hAnsi="Garamond" w:cs="Calibri"/>
                <w:sz w:val="24"/>
                <w:szCs w:val="24"/>
              </w:rPr>
            </w:pPr>
            <w:r w:rsidRPr="009622FC">
              <w:rPr>
                <w:rFonts w:ascii="Garamond" w:hAnsi="Garamond"/>
                <w:sz w:val="24"/>
                <w:szCs w:val="24"/>
              </w:rPr>
              <w:t>Yuli Isnadi, Opini: “Kutukan Sumberdaya Alam” dalam http://www.riaupos.co/2358-opini--kutukan-sumber-daya-alam-.html#.UpXRQuJElUY</w:t>
            </w:r>
          </w:p>
          <w:p w:rsidR="00B42460" w:rsidRPr="009622FC" w:rsidRDefault="00B42460" w:rsidP="00B42460">
            <w:pPr>
              <w:pStyle w:val="NoSpacing"/>
              <w:rPr>
                <w:rFonts w:ascii="Garamond" w:hAnsi="Garamond" w:cs="Calibri"/>
                <w:lang w:val="en-US"/>
              </w:rPr>
            </w:pPr>
          </w:p>
        </w:tc>
      </w:tr>
    </w:tbl>
    <w:p w:rsidR="00B42460" w:rsidRPr="009622FC" w:rsidRDefault="00B42460" w:rsidP="00B42460">
      <w:pPr>
        <w:spacing w:before="240"/>
        <w:ind w:left="1985" w:hanging="1895"/>
        <w:jc w:val="both"/>
        <w:rPr>
          <w:rFonts w:ascii="Garamond" w:hAnsi="Garamond"/>
          <w:b/>
        </w:rPr>
      </w:pPr>
    </w:p>
    <w:p w:rsidR="00B42460" w:rsidRPr="009622FC" w:rsidRDefault="00B42460" w:rsidP="00B42460">
      <w:pPr>
        <w:spacing w:before="240"/>
        <w:ind w:left="1985" w:hanging="1895"/>
        <w:jc w:val="both"/>
        <w:rPr>
          <w:rFonts w:ascii="Garamond" w:hAnsi="Garamond" w:cs="Calibri"/>
          <w:b/>
          <w:lang w:val="en-US"/>
        </w:rPr>
      </w:pPr>
    </w:p>
    <w:p w:rsidR="00B42460" w:rsidRPr="009622FC" w:rsidRDefault="00B42460" w:rsidP="00B42460">
      <w:pPr>
        <w:spacing w:after="0"/>
        <w:rPr>
          <w:rFonts w:ascii="Garamond" w:hAnsi="Garamond"/>
          <w:lang w:val="en-US"/>
        </w:rPr>
      </w:pPr>
      <w:r w:rsidRPr="009622FC">
        <w:rPr>
          <w:rFonts w:ascii="Garamond" w:hAnsi="Garamond"/>
        </w:rPr>
        <w:br w:type="page"/>
      </w:r>
    </w:p>
    <w:p w:rsidR="00B42460" w:rsidRPr="009622FC" w:rsidRDefault="00FF73EC" w:rsidP="00B42460">
      <w:pPr>
        <w:pStyle w:val="BodyText"/>
        <w:spacing w:before="0" w:line="276" w:lineRule="auto"/>
        <w:jc w:val="both"/>
        <w:rPr>
          <w:rFonts w:ascii="Garamond" w:hAnsi="Garamond"/>
          <w:sz w:val="22"/>
        </w:rPr>
      </w:pPr>
      <w:r w:rsidRPr="009622FC">
        <w:rPr>
          <w:rFonts w:ascii="Garamond" w:hAnsi="Garamond"/>
          <w:sz w:val="22"/>
        </w:rPr>
        <w:lastRenderedPageBreak/>
        <w:t>Appendix 1</w:t>
      </w:r>
    </w:p>
    <w:p w:rsidR="00B42460" w:rsidRPr="009622FC" w:rsidRDefault="00B42460" w:rsidP="00B42460">
      <w:pPr>
        <w:pStyle w:val="BodyText"/>
        <w:spacing w:before="0" w:line="276" w:lineRule="auto"/>
        <w:jc w:val="both"/>
        <w:rPr>
          <w:rFonts w:ascii="Garamond" w:hAnsi="Garamond"/>
          <w:b/>
          <w:sz w:val="22"/>
        </w:rPr>
      </w:pPr>
    </w:p>
    <w:p w:rsidR="00B42460" w:rsidRPr="009622FC" w:rsidRDefault="00B42460" w:rsidP="00B42460">
      <w:pPr>
        <w:pStyle w:val="BodyText"/>
        <w:spacing w:before="0" w:line="276" w:lineRule="auto"/>
        <w:jc w:val="both"/>
        <w:rPr>
          <w:rFonts w:ascii="Garamond" w:hAnsi="Garamond"/>
          <w:b/>
          <w:sz w:val="22"/>
        </w:rPr>
      </w:pPr>
      <w:r w:rsidRPr="009622FC">
        <w:rPr>
          <w:rFonts w:ascii="Garamond" w:hAnsi="Garamond"/>
          <w:b/>
          <w:sz w:val="22"/>
        </w:rPr>
        <w:t>Table – Management of Land and Forest Governance Affairs in the Research Areas</w:t>
      </w:r>
    </w:p>
    <w:p w:rsidR="00B42460" w:rsidRPr="009622FC" w:rsidRDefault="00B42460" w:rsidP="00B42460">
      <w:pPr>
        <w:pStyle w:val="BodyText"/>
        <w:spacing w:before="0" w:line="276" w:lineRule="auto"/>
        <w:jc w:val="both"/>
        <w:rPr>
          <w:rFonts w:ascii="Garamond" w:hAnsi="Garamond"/>
          <w:b/>
          <w:sz w:val="22"/>
        </w:rPr>
      </w:pPr>
    </w:p>
    <w:tbl>
      <w:tblPr>
        <w:tblW w:w="10440" w:type="dxa"/>
        <w:jc w:val="center"/>
        <w:tblInd w:w="-365"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1206"/>
        <w:gridCol w:w="1615"/>
        <w:gridCol w:w="1702"/>
        <w:gridCol w:w="2534"/>
        <w:gridCol w:w="1768"/>
        <w:gridCol w:w="1615"/>
      </w:tblGrid>
      <w:tr w:rsidR="00B42460" w:rsidRPr="009622FC" w:rsidTr="00BA38FA">
        <w:trPr>
          <w:jc w:val="center"/>
        </w:trPr>
        <w:tc>
          <w:tcPr>
            <w:tcW w:w="1170" w:type="dxa"/>
            <w:tcBorders>
              <w:top w:val="single" w:sz="4" w:space="0" w:color="F79646"/>
              <w:left w:val="single" w:sz="4" w:space="0" w:color="F79646"/>
              <w:bottom w:val="single" w:sz="4" w:space="0" w:color="F79646"/>
              <w:right w:val="nil"/>
            </w:tcBorders>
            <w:shd w:val="clear" w:color="auto" w:fill="F79646"/>
          </w:tcPr>
          <w:p w:rsidR="00B42460" w:rsidRPr="009622FC" w:rsidRDefault="00B42460" w:rsidP="00B42460">
            <w:pPr>
              <w:pStyle w:val="BodyText"/>
              <w:spacing w:before="0" w:line="276" w:lineRule="auto"/>
              <w:rPr>
                <w:rFonts w:ascii="Garamond" w:hAnsi="Garamond"/>
                <w:b/>
                <w:bCs/>
                <w:color w:val="FFFFFF"/>
                <w:sz w:val="22"/>
                <w:lang w:val="en-US" w:bidi="pt-PT"/>
              </w:rPr>
            </w:pPr>
            <w:r w:rsidRPr="009622FC">
              <w:rPr>
                <w:rFonts w:ascii="Garamond" w:hAnsi="Garamond"/>
                <w:b/>
                <w:bCs/>
                <w:color w:val="FFFFFF"/>
                <w:sz w:val="22"/>
                <w:lang w:val="en-US" w:bidi="pt-PT"/>
              </w:rPr>
              <w:t xml:space="preserve">Affair </w:t>
            </w:r>
          </w:p>
        </w:tc>
        <w:tc>
          <w:tcPr>
            <w:tcW w:w="1620" w:type="dxa"/>
            <w:tcBorders>
              <w:top w:val="single" w:sz="4" w:space="0" w:color="F79646"/>
              <w:left w:val="nil"/>
              <w:bottom w:val="single" w:sz="4" w:space="0" w:color="F79646"/>
              <w:right w:val="nil"/>
            </w:tcBorders>
            <w:shd w:val="clear" w:color="auto" w:fill="F79646"/>
          </w:tcPr>
          <w:p w:rsidR="00B42460" w:rsidRPr="009622FC" w:rsidRDefault="00B42460" w:rsidP="00B42460">
            <w:pPr>
              <w:pStyle w:val="BodyText"/>
              <w:spacing w:before="0" w:line="276" w:lineRule="auto"/>
              <w:jc w:val="center"/>
              <w:rPr>
                <w:rFonts w:ascii="Garamond" w:hAnsi="Garamond"/>
                <w:b/>
                <w:bCs/>
                <w:color w:val="FFFFFF"/>
                <w:sz w:val="22"/>
                <w:lang w:val="en-US" w:bidi="pt-PT"/>
              </w:rPr>
            </w:pPr>
            <w:r w:rsidRPr="009622FC">
              <w:rPr>
                <w:rFonts w:ascii="Garamond" w:hAnsi="Garamond"/>
                <w:b/>
                <w:bCs/>
                <w:color w:val="FFFFFF"/>
                <w:sz w:val="22"/>
                <w:lang w:val="en-US" w:bidi="pt-PT"/>
              </w:rPr>
              <w:t>Forestry</w:t>
            </w:r>
          </w:p>
        </w:tc>
        <w:tc>
          <w:tcPr>
            <w:tcW w:w="1710" w:type="dxa"/>
            <w:tcBorders>
              <w:top w:val="single" w:sz="4" w:space="0" w:color="F79646"/>
              <w:left w:val="nil"/>
              <w:bottom w:val="single" w:sz="4" w:space="0" w:color="F79646"/>
              <w:right w:val="nil"/>
            </w:tcBorders>
            <w:shd w:val="clear" w:color="auto" w:fill="F79646"/>
          </w:tcPr>
          <w:p w:rsidR="00B42460" w:rsidRPr="009622FC" w:rsidRDefault="00B42460" w:rsidP="00B42460">
            <w:pPr>
              <w:pStyle w:val="BodyText"/>
              <w:spacing w:before="0" w:line="276" w:lineRule="auto"/>
              <w:jc w:val="center"/>
              <w:rPr>
                <w:rFonts w:ascii="Garamond" w:hAnsi="Garamond"/>
                <w:b/>
                <w:bCs/>
                <w:color w:val="FFFFFF"/>
                <w:sz w:val="22"/>
                <w:lang w:val="en-US" w:bidi="pt-PT"/>
              </w:rPr>
            </w:pPr>
            <w:r w:rsidRPr="009622FC">
              <w:rPr>
                <w:rFonts w:ascii="Garamond" w:hAnsi="Garamond"/>
                <w:b/>
                <w:bCs/>
                <w:color w:val="FFFFFF"/>
                <w:sz w:val="22"/>
                <w:lang w:val="en-US" w:bidi="pt-PT"/>
              </w:rPr>
              <w:t>Mining</w:t>
            </w:r>
          </w:p>
        </w:tc>
        <w:tc>
          <w:tcPr>
            <w:tcW w:w="2549" w:type="dxa"/>
            <w:tcBorders>
              <w:top w:val="single" w:sz="4" w:space="0" w:color="F79646"/>
              <w:left w:val="nil"/>
              <w:bottom w:val="single" w:sz="4" w:space="0" w:color="F79646"/>
              <w:right w:val="nil"/>
            </w:tcBorders>
            <w:shd w:val="clear" w:color="auto" w:fill="F79646"/>
          </w:tcPr>
          <w:p w:rsidR="00B42460" w:rsidRPr="009622FC" w:rsidRDefault="00B42460" w:rsidP="00B42460">
            <w:pPr>
              <w:pStyle w:val="BodyText"/>
              <w:spacing w:before="0" w:line="276" w:lineRule="auto"/>
              <w:jc w:val="center"/>
              <w:rPr>
                <w:rFonts w:ascii="Garamond" w:hAnsi="Garamond"/>
                <w:b/>
                <w:bCs/>
                <w:color w:val="FFFFFF"/>
                <w:sz w:val="22"/>
                <w:lang w:val="en-US" w:bidi="pt-PT"/>
              </w:rPr>
            </w:pPr>
            <w:r w:rsidRPr="009622FC">
              <w:rPr>
                <w:rFonts w:ascii="Garamond" w:hAnsi="Garamond"/>
                <w:b/>
                <w:bCs/>
                <w:color w:val="FFFFFF"/>
                <w:sz w:val="22"/>
                <w:lang w:val="en-US" w:bidi="pt-PT"/>
              </w:rPr>
              <w:t>Agriculture</w:t>
            </w:r>
          </w:p>
        </w:tc>
        <w:tc>
          <w:tcPr>
            <w:tcW w:w="1771" w:type="dxa"/>
            <w:tcBorders>
              <w:top w:val="single" w:sz="4" w:space="0" w:color="F79646"/>
              <w:left w:val="nil"/>
              <w:bottom w:val="single" w:sz="4" w:space="0" w:color="F79646"/>
              <w:right w:val="nil"/>
            </w:tcBorders>
            <w:shd w:val="clear" w:color="auto" w:fill="F79646"/>
          </w:tcPr>
          <w:p w:rsidR="00B42460" w:rsidRPr="009622FC" w:rsidRDefault="00B42460" w:rsidP="00B42460">
            <w:pPr>
              <w:pStyle w:val="BodyText"/>
              <w:spacing w:before="0" w:line="276" w:lineRule="auto"/>
              <w:jc w:val="center"/>
              <w:rPr>
                <w:rFonts w:ascii="Garamond" w:hAnsi="Garamond"/>
                <w:b/>
                <w:bCs/>
                <w:color w:val="FFFFFF"/>
                <w:sz w:val="22"/>
                <w:lang w:val="en-US" w:bidi="pt-PT"/>
              </w:rPr>
            </w:pPr>
            <w:r w:rsidRPr="009622FC">
              <w:rPr>
                <w:rFonts w:ascii="Garamond" w:hAnsi="Garamond"/>
                <w:b/>
                <w:bCs/>
                <w:color w:val="FFFFFF"/>
                <w:sz w:val="22"/>
                <w:lang w:val="en-US" w:bidi="pt-PT"/>
              </w:rPr>
              <w:t>Environment</w:t>
            </w:r>
          </w:p>
        </w:tc>
        <w:tc>
          <w:tcPr>
            <w:tcW w:w="1620" w:type="dxa"/>
            <w:tcBorders>
              <w:top w:val="single" w:sz="4" w:space="0" w:color="F79646"/>
              <w:left w:val="nil"/>
              <w:bottom w:val="single" w:sz="4" w:space="0" w:color="F79646"/>
              <w:right w:val="single" w:sz="4" w:space="0" w:color="F79646"/>
            </w:tcBorders>
            <w:shd w:val="clear" w:color="auto" w:fill="F79646"/>
          </w:tcPr>
          <w:p w:rsidR="00B42460" w:rsidRPr="009622FC" w:rsidRDefault="00B42460" w:rsidP="00B42460">
            <w:pPr>
              <w:pStyle w:val="BodyText"/>
              <w:spacing w:before="0" w:line="276" w:lineRule="auto"/>
              <w:jc w:val="center"/>
              <w:rPr>
                <w:rFonts w:ascii="Garamond" w:hAnsi="Garamond"/>
                <w:b/>
                <w:bCs/>
                <w:color w:val="FFFFFF"/>
                <w:sz w:val="22"/>
                <w:lang w:val="en-US" w:bidi="pt-PT"/>
              </w:rPr>
            </w:pPr>
            <w:r w:rsidRPr="009622FC">
              <w:rPr>
                <w:rFonts w:ascii="Garamond" w:hAnsi="Garamond"/>
                <w:b/>
                <w:bCs/>
                <w:color w:val="FFFFFF"/>
                <w:sz w:val="22"/>
                <w:lang w:val="en-US" w:bidi="pt-PT"/>
              </w:rPr>
              <w:t>Spatial Zoning</w:t>
            </w:r>
          </w:p>
        </w:tc>
      </w:tr>
      <w:tr w:rsidR="00B42460" w:rsidRPr="009622FC" w:rsidTr="00D018C6">
        <w:trPr>
          <w:jc w:val="center"/>
        </w:trPr>
        <w:tc>
          <w:tcPr>
            <w:tcW w:w="10440" w:type="dxa"/>
            <w:gridSpan w:val="6"/>
            <w:shd w:val="clear" w:color="auto" w:fill="FDE9D9"/>
          </w:tcPr>
          <w:p w:rsidR="00B42460" w:rsidRPr="009622FC" w:rsidRDefault="00B42460" w:rsidP="00B42460">
            <w:pPr>
              <w:pStyle w:val="BodyText"/>
              <w:spacing w:before="0" w:line="276" w:lineRule="auto"/>
              <w:jc w:val="both"/>
              <w:rPr>
                <w:rFonts w:ascii="Garamond" w:hAnsi="Garamond"/>
                <w:b/>
                <w:bCs/>
                <w:sz w:val="22"/>
                <w:lang w:val="en-US" w:bidi="pt-PT"/>
              </w:rPr>
            </w:pPr>
            <w:r w:rsidRPr="009622FC">
              <w:rPr>
                <w:rFonts w:ascii="Garamond" w:hAnsi="Garamond"/>
                <w:b/>
                <w:bCs/>
                <w:sz w:val="22"/>
                <w:lang w:val="en-US" w:bidi="pt-PT"/>
              </w:rPr>
              <w:t xml:space="preserve">Province </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 xml:space="preserve">East Kalimantan </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and Energy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Plantation Office, Food Crop Agriculture Office, Husbandry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Public Works Office</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West Kalimantan</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Plantation Office, Food Crop Agriculture and Horticulture Office, Husbandry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Cipta Karya of Public Works Office, Bappeda</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 xml:space="preserve">South Sumatra </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and Energy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Plantation Office, Food Crop Agriculture and Horticulture Office, Husbandry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Bappeda, Cipta Karya of Public Works Office</w:t>
            </w:r>
          </w:p>
        </w:tc>
      </w:tr>
      <w:tr w:rsidR="00B42460" w:rsidRPr="009622FC" w:rsidTr="00D018C6">
        <w:trPr>
          <w:jc w:val="center"/>
        </w:trPr>
        <w:tc>
          <w:tcPr>
            <w:tcW w:w="10440" w:type="dxa"/>
            <w:gridSpan w:val="6"/>
            <w:shd w:val="clear" w:color="auto" w:fill="FDE9D9"/>
          </w:tcPr>
          <w:p w:rsidR="00B42460" w:rsidRPr="009622FC" w:rsidRDefault="00B42460" w:rsidP="00B42460">
            <w:pPr>
              <w:pStyle w:val="BodyText"/>
              <w:spacing w:before="0" w:line="276" w:lineRule="auto"/>
              <w:jc w:val="both"/>
              <w:rPr>
                <w:rFonts w:ascii="Garamond" w:hAnsi="Garamond"/>
                <w:b/>
                <w:bCs/>
                <w:sz w:val="22"/>
                <w:lang w:val="en-US" w:bidi="pt-PT"/>
              </w:rPr>
            </w:pPr>
            <w:r w:rsidRPr="009622FC">
              <w:rPr>
                <w:rFonts w:ascii="Garamond" w:hAnsi="Garamond"/>
                <w:b/>
                <w:bCs/>
                <w:sz w:val="22"/>
                <w:lang w:val="en-US" w:bidi="pt-PT"/>
              </w:rPr>
              <w:t>District</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 xml:space="preserve">Musi Banyuasin </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and Energy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Executing Agency of Agriculture, Fishery, and Forestry Counseling, Plantation Office, Agriculture and Husbandry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and Research and Development Agency, Sanitation, Landscape, and Street Lighting Maintenance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Bappeda, PU Cipta Karya and Spatial Zoning</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Musi Rawas</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 Executing Agency of Agriculture, Fishery and Forestry Counseling</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Energy, and Mineral Resources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Executing Agency of Agriculture, Fishery and Forestry Counseling, Forestry Office, Husbandry and Fishery Office, Food Crop and Horticulture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Cipta Karya of Public Works Office and Spatial Zoning</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 xml:space="preserve">Sintang </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and Plantation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Executing Agency of Agriculture, Fishery, Forestry, and Food Resilience Office, Bappeda, Forestry and Plantation Office, Agriculture, Husbandry and Fishery Office</w:t>
            </w:r>
          </w:p>
        </w:tc>
        <w:tc>
          <w:tcPr>
            <w:tcW w:w="1771" w:type="dxa"/>
            <w:shd w:val="clear" w:color="auto" w:fill="FFFFFF"/>
          </w:tcPr>
          <w:p w:rsidR="00B42460"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Sanitation, Landscape and Firefighting Office, Environment Office</w:t>
            </w:r>
          </w:p>
          <w:p w:rsidR="00E61ED2" w:rsidRDefault="00E61ED2" w:rsidP="00B42460">
            <w:pPr>
              <w:pStyle w:val="BodyText"/>
              <w:spacing w:before="0" w:line="276" w:lineRule="auto"/>
              <w:jc w:val="both"/>
              <w:rPr>
                <w:rFonts w:ascii="Garamond" w:hAnsi="Garamond"/>
                <w:sz w:val="22"/>
                <w:lang w:val="en-US" w:bidi="pt-PT"/>
              </w:rPr>
            </w:pPr>
          </w:p>
          <w:p w:rsidR="00E61ED2" w:rsidRDefault="00E61ED2" w:rsidP="00B42460">
            <w:pPr>
              <w:pStyle w:val="BodyText"/>
              <w:spacing w:before="0" w:line="276" w:lineRule="auto"/>
              <w:jc w:val="both"/>
              <w:rPr>
                <w:rFonts w:ascii="Garamond" w:hAnsi="Garamond"/>
                <w:sz w:val="22"/>
                <w:lang w:val="en-US" w:bidi="pt-PT"/>
              </w:rPr>
            </w:pPr>
          </w:p>
          <w:p w:rsidR="00E61ED2" w:rsidRDefault="00E61ED2" w:rsidP="00B42460">
            <w:pPr>
              <w:pStyle w:val="BodyText"/>
              <w:spacing w:before="0" w:line="276" w:lineRule="auto"/>
              <w:jc w:val="both"/>
              <w:rPr>
                <w:rFonts w:ascii="Garamond" w:hAnsi="Garamond"/>
                <w:sz w:val="22"/>
                <w:lang w:val="en-US" w:bidi="pt-PT"/>
              </w:rPr>
            </w:pPr>
          </w:p>
          <w:p w:rsidR="00E61ED2" w:rsidRDefault="00E61ED2" w:rsidP="00B42460">
            <w:pPr>
              <w:pStyle w:val="BodyText"/>
              <w:spacing w:before="0" w:line="276" w:lineRule="auto"/>
              <w:jc w:val="both"/>
              <w:rPr>
                <w:rFonts w:ascii="Garamond" w:hAnsi="Garamond"/>
                <w:sz w:val="22"/>
                <w:lang w:val="en-US" w:bidi="pt-PT"/>
              </w:rPr>
            </w:pPr>
          </w:p>
          <w:p w:rsidR="00E61ED2" w:rsidRPr="009622FC" w:rsidRDefault="00E61ED2" w:rsidP="00B42460">
            <w:pPr>
              <w:pStyle w:val="BodyText"/>
              <w:spacing w:before="0" w:line="276" w:lineRule="auto"/>
              <w:jc w:val="both"/>
              <w:rPr>
                <w:rFonts w:ascii="Garamond" w:hAnsi="Garamond"/>
                <w:sz w:val="22"/>
                <w:lang w:val="en-US" w:bidi="pt-PT"/>
              </w:rPr>
            </w:pP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Sanitation, Landscape and Firefighting Office, Public Works Office</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lastRenderedPageBreak/>
              <w:t>Kubu Raya</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Plantation and Mining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Plantation and Mining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Plantation and Mining Office, Agriculture and Husbandry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Bappeda, Public Works Cipta Karya and Spatial Zoning Office</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 xml:space="preserve">Berau </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and Energy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Food Resilience and Counseling Executing Agency, Plantation Office, Food Crop Agriculture Office, Husbandry and Animal Health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Environment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Housing and Spatial Zoning Office, Regional Secretariate</w:t>
            </w:r>
          </w:p>
        </w:tc>
      </w:tr>
      <w:tr w:rsidR="00B42460" w:rsidRPr="009622FC" w:rsidTr="00BA38FA">
        <w:trPr>
          <w:jc w:val="center"/>
        </w:trPr>
        <w:tc>
          <w:tcPr>
            <w:tcW w:w="1170" w:type="dxa"/>
            <w:shd w:val="clear" w:color="auto" w:fill="FFFFFF"/>
          </w:tcPr>
          <w:p w:rsidR="00B42460" w:rsidRPr="009622FC" w:rsidRDefault="00B42460" w:rsidP="00B42460">
            <w:pPr>
              <w:pStyle w:val="BodyText"/>
              <w:spacing w:before="0" w:line="276" w:lineRule="auto"/>
              <w:jc w:val="both"/>
              <w:rPr>
                <w:rFonts w:ascii="Garamond" w:hAnsi="Garamond"/>
                <w:bCs/>
                <w:sz w:val="22"/>
                <w:lang w:val="en-US" w:bidi="pt-PT"/>
              </w:rPr>
            </w:pPr>
            <w:r w:rsidRPr="009622FC">
              <w:rPr>
                <w:rFonts w:ascii="Garamond" w:hAnsi="Garamond"/>
                <w:bCs/>
                <w:sz w:val="22"/>
                <w:lang w:val="en-US" w:bidi="pt-PT"/>
              </w:rPr>
              <w:t>Bulungan</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Forestry Office</w:t>
            </w:r>
          </w:p>
        </w:tc>
        <w:tc>
          <w:tcPr>
            <w:tcW w:w="171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Mining Office</w:t>
            </w:r>
          </w:p>
        </w:tc>
        <w:tc>
          <w:tcPr>
            <w:tcW w:w="2549"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Agriculture Office</w:t>
            </w:r>
          </w:p>
        </w:tc>
        <w:tc>
          <w:tcPr>
            <w:tcW w:w="1771"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Regional Environmental Impact Control Agency, Sanitation, Landscape, Grave and Fire Problem Response Office</w:t>
            </w:r>
          </w:p>
        </w:tc>
        <w:tc>
          <w:tcPr>
            <w:tcW w:w="1620" w:type="dxa"/>
            <w:shd w:val="clear" w:color="auto" w:fill="FFFFFF"/>
          </w:tcPr>
          <w:p w:rsidR="00B42460" w:rsidRPr="009622FC" w:rsidRDefault="00B42460" w:rsidP="00B42460">
            <w:pPr>
              <w:pStyle w:val="BodyText"/>
              <w:spacing w:before="0" w:line="276" w:lineRule="auto"/>
              <w:jc w:val="both"/>
              <w:rPr>
                <w:rFonts w:ascii="Garamond" w:hAnsi="Garamond"/>
                <w:sz w:val="22"/>
                <w:lang w:val="en-US" w:bidi="pt-PT"/>
              </w:rPr>
            </w:pPr>
            <w:r w:rsidRPr="009622FC">
              <w:rPr>
                <w:rFonts w:ascii="Garamond" w:hAnsi="Garamond"/>
                <w:sz w:val="22"/>
                <w:lang w:val="en-US" w:bidi="pt-PT"/>
              </w:rPr>
              <w:t>Bappeda, Public Works Cipta Karya and Spatial Zoning Office</w:t>
            </w:r>
          </w:p>
        </w:tc>
      </w:tr>
    </w:tbl>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pStyle w:val="BodyText"/>
        <w:spacing w:before="0" w:line="276" w:lineRule="auto"/>
        <w:jc w:val="both"/>
        <w:rPr>
          <w:rFonts w:ascii="Garamond" w:hAnsi="Garamond"/>
          <w:sz w:val="22"/>
        </w:rPr>
      </w:pPr>
    </w:p>
    <w:p w:rsidR="00B42460" w:rsidRPr="009622FC" w:rsidRDefault="00B42460" w:rsidP="00B42460">
      <w:pPr>
        <w:spacing w:after="0"/>
        <w:rPr>
          <w:rFonts w:ascii="Garamond" w:hAnsi="Garamond"/>
        </w:rPr>
      </w:pPr>
    </w:p>
    <w:p w:rsidR="00B42460" w:rsidRDefault="00B42460" w:rsidP="00B42460">
      <w:pPr>
        <w:spacing w:after="0"/>
        <w:rPr>
          <w:rFonts w:ascii="Garamond" w:hAnsi="Garamond"/>
          <w:lang w:val="en-US"/>
        </w:rPr>
      </w:pPr>
    </w:p>
    <w:p w:rsidR="00D018C6" w:rsidRDefault="00D018C6" w:rsidP="00B42460">
      <w:pPr>
        <w:spacing w:after="0"/>
        <w:rPr>
          <w:rFonts w:ascii="Garamond" w:hAnsi="Garamond"/>
          <w:lang w:val="en-US"/>
        </w:rPr>
      </w:pPr>
    </w:p>
    <w:p w:rsidR="00D018C6" w:rsidRDefault="00D018C6" w:rsidP="00B42460">
      <w:pPr>
        <w:spacing w:after="0"/>
        <w:rPr>
          <w:rFonts w:ascii="Garamond" w:hAnsi="Garamond"/>
          <w:lang w:val="en-US"/>
        </w:rPr>
      </w:pPr>
    </w:p>
    <w:p w:rsidR="00D018C6" w:rsidRDefault="00D018C6" w:rsidP="00B42460">
      <w:pPr>
        <w:spacing w:after="0"/>
        <w:rPr>
          <w:rFonts w:ascii="Garamond" w:hAnsi="Garamond"/>
          <w:lang w:val="en-US"/>
        </w:rPr>
      </w:pPr>
    </w:p>
    <w:p w:rsidR="00D018C6" w:rsidRDefault="00D018C6" w:rsidP="00B42460">
      <w:pPr>
        <w:spacing w:after="0"/>
        <w:rPr>
          <w:rFonts w:ascii="Garamond" w:hAnsi="Garamond"/>
          <w:lang w:val="en-US"/>
        </w:rPr>
      </w:pPr>
    </w:p>
    <w:p w:rsidR="00D018C6" w:rsidRDefault="00D018C6" w:rsidP="00B42460">
      <w:pPr>
        <w:spacing w:after="0"/>
        <w:rPr>
          <w:rFonts w:ascii="Garamond" w:hAnsi="Garamond"/>
          <w:lang w:val="en-US"/>
        </w:rPr>
      </w:pPr>
    </w:p>
    <w:p w:rsidR="00D018C6" w:rsidRPr="00D018C6" w:rsidRDefault="00D018C6" w:rsidP="00B42460">
      <w:pPr>
        <w:spacing w:after="0"/>
        <w:rPr>
          <w:rFonts w:ascii="Garamond" w:hAnsi="Garamond"/>
          <w:lang w:val="en-US"/>
        </w:rPr>
      </w:pPr>
    </w:p>
    <w:p w:rsidR="00B42460" w:rsidRPr="009622FC" w:rsidRDefault="00B42460" w:rsidP="00B42460">
      <w:pPr>
        <w:spacing w:after="0"/>
        <w:rPr>
          <w:rFonts w:ascii="Garamond" w:hAnsi="Garamond"/>
        </w:rPr>
      </w:pPr>
      <w:r w:rsidRPr="009622FC">
        <w:rPr>
          <w:rFonts w:ascii="Garamond" w:hAnsi="Garamond"/>
        </w:rPr>
        <w:lastRenderedPageBreak/>
        <w:t>Appendix 2</w:t>
      </w:r>
    </w:p>
    <w:p w:rsidR="00B42460" w:rsidRPr="009622FC" w:rsidRDefault="00B42460" w:rsidP="00B42460">
      <w:pPr>
        <w:spacing w:after="0"/>
        <w:rPr>
          <w:rFonts w:ascii="Garamond" w:hAnsi="Garamond"/>
          <w:lang w:val="en-US"/>
        </w:rPr>
      </w:pPr>
    </w:p>
    <w:p w:rsidR="00B42460" w:rsidRPr="009622FC" w:rsidRDefault="00B42460" w:rsidP="00B42460">
      <w:pPr>
        <w:tabs>
          <w:tab w:val="left" w:pos="0"/>
        </w:tabs>
        <w:spacing w:after="0"/>
        <w:jc w:val="both"/>
        <w:rPr>
          <w:rFonts w:ascii="Garamond" w:hAnsi="Garamond"/>
          <w:b/>
        </w:rPr>
      </w:pPr>
      <w:r w:rsidRPr="009622FC">
        <w:rPr>
          <w:rFonts w:ascii="Garamond" w:hAnsi="Garamond"/>
          <w:b/>
        </w:rPr>
        <w:t>Table 2.1 Authority Distribution between Government Levels in the Governance of Forestry, Mining and Plantation Affairs</w:t>
      </w:r>
    </w:p>
    <w:p w:rsidR="00B42460" w:rsidRPr="009622FC" w:rsidRDefault="00B42460" w:rsidP="00B42460">
      <w:pPr>
        <w:tabs>
          <w:tab w:val="left" w:pos="0"/>
        </w:tabs>
        <w:spacing w:after="0"/>
        <w:jc w:val="both"/>
        <w:rPr>
          <w:rFonts w:ascii="Garamond" w:hAnsi="Garamond"/>
        </w:rPr>
      </w:pPr>
    </w:p>
    <w:tbl>
      <w:tblPr>
        <w:tblW w:w="972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98"/>
        <w:gridCol w:w="2880"/>
        <w:gridCol w:w="2880"/>
        <w:gridCol w:w="2862"/>
      </w:tblGrid>
      <w:tr w:rsidR="00B42460" w:rsidRPr="009622FC" w:rsidTr="00E61ED2">
        <w:trPr>
          <w:trHeight w:val="547"/>
          <w:jc w:val="center"/>
        </w:trPr>
        <w:tc>
          <w:tcPr>
            <w:tcW w:w="1098" w:type="dxa"/>
            <w:tcBorders>
              <w:top w:val="single" w:sz="4" w:space="0" w:color="FFFFFF"/>
              <w:left w:val="single" w:sz="4" w:space="0" w:color="FFFFFF"/>
              <w:right w:val="nil"/>
            </w:tcBorders>
            <w:shd w:val="clear" w:color="auto" w:fill="9BBB59"/>
          </w:tcPr>
          <w:p w:rsidR="00B42460" w:rsidRPr="009622FC" w:rsidRDefault="00B42460" w:rsidP="00B42460">
            <w:pPr>
              <w:tabs>
                <w:tab w:val="left" w:pos="0"/>
              </w:tabs>
              <w:spacing w:after="0"/>
              <w:jc w:val="right"/>
              <w:rPr>
                <w:rFonts w:ascii="Garamond" w:hAnsi="Garamond"/>
                <w:b/>
                <w:bCs/>
                <w:color w:val="FFFFFF"/>
                <w:sz w:val="18"/>
                <w:szCs w:val="20"/>
              </w:rPr>
            </w:pPr>
            <w:r w:rsidRPr="009622FC">
              <w:rPr>
                <w:rFonts w:ascii="Garamond" w:hAnsi="Garamond"/>
                <w:b/>
                <w:bCs/>
                <w:color w:val="FFFFFF"/>
                <w:sz w:val="18"/>
                <w:szCs w:val="20"/>
              </w:rPr>
              <w:t>Level</w:t>
            </w:r>
          </w:p>
          <w:p w:rsidR="00B42460" w:rsidRPr="009622FC" w:rsidRDefault="00B42460" w:rsidP="00B42460">
            <w:pPr>
              <w:tabs>
                <w:tab w:val="left" w:pos="0"/>
              </w:tabs>
              <w:spacing w:after="0"/>
              <w:rPr>
                <w:rFonts w:ascii="Garamond" w:hAnsi="Garamond"/>
                <w:b/>
                <w:bCs/>
                <w:color w:val="FFFFFF"/>
                <w:sz w:val="18"/>
                <w:szCs w:val="20"/>
              </w:rPr>
            </w:pPr>
            <w:r w:rsidRPr="009622FC">
              <w:rPr>
                <w:rFonts w:ascii="Garamond" w:hAnsi="Garamond"/>
                <w:b/>
                <w:bCs/>
                <w:color w:val="FFFFFF"/>
                <w:sz w:val="18"/>
                <w:szCs w:val="20"/>
              </w:rPr>
              <w:t>Affair</w:t>
            </w:r>
          </w:p>
        </w:tc>
        <w:tc>
          <w:tcPr>
            <w:tcW w:w="2880" w:type="dxa"/>
            <w:tcBorders>
              <w:top w:val="single" w:sz="4" w:space="0" w:color="FFFFFF"/>
              <w:left w:val="nil"/>
              <w:right w:val="nil"/>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r w:rsidRPr="009622FC">
              <w:rPr>
                <w:rFonts w:ascii="Garamond" w:hAnsi="Garamond"/>
                <w:b/>
                <w:bCs/>
                <w:color w:val="FFFFFF"/>
                <w:sz w:val="18"/>
                <w:szCs w:val="20"/>
              </w:rPr>
              <w:t>Central Government</w:t>
            </w:r>
          </w:p>
        </w:tc>
        <w:tc>
          <w:tcPr>
            <w:tcW w:w="2880" w:type="dxa"/>
            <w:tcBorders>
              <w:top w:val="single" w:sz="4" w:space="0" w:color="FFFFFF"/>
              <w:left w:val="nil"/>
              <w:right w:val="nil"/>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r w:rsidRPr="009622FC">
              <w:rPr>
                <w:rFonts w:ascii="Garamond" w:hAnsi="Garamond"/>
                <w:b/>
                <w:bCs/>
                <w:color w:val="FFFFFF"/>
                <w:sz w:val="18"/>
                <w:szCs w:val="20"/>
              </w:rPr>
              <w:t>Province</w:t>
            </w:r>
          </w:p>
        </w:tc>
        <w:tc>
          <w:tcPr>
            <w:tcW w:w="2862" w:type="dxa"/>
            <w:tcBorders>
              <w:top w:val="single" w:sz="4" w:space="0" w:color="FFFFFF"/>
              <w:left w:val="nil"/>
              <w:righ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r w:rsidRPr="009622FC">
              <w:rPr>
                <w:rFonts w:ascii="Garamond" w:hAnsi="Garamond"/>
                <w:b/>
                <w:bCs/>
                <w:color w:val="FFFFFF"/>
                <w:sz w:val="18"/>
                <w:szCs w:val="20"/>
              </w:rPr>
              <w:t>District</w:t>
            </w:r>
          </w:p>
        </w:tc>
      </w:tr>
      <w:tr w:rsidR="00B42460" w:rsidRPr="009622FC" w:rsidTr="00E61ED2">
        <w:trPr>
          <w:jc w:val="center"/>
        </w:trPr>
        <w:tc>
          <w:tcPr>
            <w:tcW w:w="1098" w:type="dxa"/>
            <w:vMerge w:val="restart"/>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r w:rsidRPr="009622FC">
              <w:rPr>
                <w:rFonts w:ascii="Garamond" w:hAnsi="Garamond"/>
                <w:b/>
                <w:bCs/>
                <w:color w:val="FFFFFF"/>
                <w:sz w:val="18"/>
                <w:szCs w:val="20"/>
              </w:rPr>
              <w:t>Forestry</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Granting technical approval and substance of spatial zoning at province and district levels </w:t>
            </w:r>
          </w:p>
        </w:tc>
        <w:tc>
          <w:tcPr>
            <w:tcW w:w="2880" w:type="dxa"/>
            <w:shd w:val="clear" w:color="auto" w:fill="D6E3BC"/>
          </w:tcPr>
          <w:p w:rsidR="00B42460" w:rsidRPr="009622FC" w:rsidRDefault="00B42460" w:rsidP="00B42460">
            <w:pPr>
              <w:spacing w:after="0"/>
              <w:jc w:val="both"/>
              <w:rPr>
                <w:rFonts w:ascii="Garamond" w:hAnsi="Garamond"/>
                <w:sz w:val="18"/>
                <w:szCs w:val="20"/>
              </w:rPr>
            </w:pPr>
            <w:r w:rsidRPr="009622FC">
              <w:rPr>
                <w:rFonts w:ascii="Garamond" w:hAnsi="Garamond"/>
                <w:sz w:val="18"/>
                <w:szCs w:val="20"/>
              </w:rPr>
              <w:t>RTRW Drafting and proposed revisions</w:t>
            </w:r>
          </w:p>
        </w:tc>
        <w:tc>
          <w:tcPr>
            <w:tcW w:w="2862" w:type="dxa"/>
            <w:shd w:val="clear" w:color="auto" w:fill="D6E3BC"/>
          </w:tcPr>
          <w:p w:rsidR="00B42460" w:rsidRPr="009622FC" w:rsidRDefault="00B42460" w:rsidP="00B42460">
            <w:pPr>
              <w:spacing w:after="0"/>
              <w:jc w:val="both"/>
              <w:rPr>
                <w:rFonts w:ascii="Garamond" w:hAnsi="Garamond"/>
                <w:sz w:val="18"/>
                <w:szCs w:val="20"/>
              </w:rPr>
            </w:pPr>
            <w:r w:rsidRPr="009622FC">
              <w:rPr>
                <w:rFonts w:ascii="Garamond" w:hAnsi="Garamond"/>
                <w:sz w:val="18"/>
                <w:szCs w:val="20"/>
              </w:rPr>
              <w:t>RTRW Drafting and proposed revisions</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Issuance of Decision Letter for designated forestland</w:t>
            </w:r>
          </w:p>
        </w:tc>
        <w:tc>
          <w:tcPr>
            <w:tcW w:w="2880" w:type="dxa"/>
            <w:shd w:val="clear" w:color="auto" w:fill="EAF1DD"/>
          </w:tcPr>
          <w:p w:rsidR="00B42460" w:rsidRPr="009622FC" w:rsidRDefault="00B42460" w:rsidP="00B42460">
            <w:pPr>
              <w:spacing w:after="0"/>
              <w:jc w:val="both"/>
              <w:rPr>
                <w:rFonts w:ascii="Garamond" w:hAnsi="Garamond"/>
                <w:sz w:val="18"/>
                <w:szCs w:val="20"/>
              </w:rPr>
            </w:pPr>
            <w:r w:rsidRPr="009622FC">
              <w:rPr>
                <w:rFonts w:ascii="Garamond" w:hAnsi="Garamond"/>
                <w:sz w:val="18"/>
                <w:szCs w:val="20"/>
              </w:rPr>
              <w:t>Provision of technical considerations for proposed designated forestlands at the district level</w:t>
            </w:r>
          </w:p>
        </w:tc>
        <w:tc>
          <w:tcPr>
            <w:tcW w:w="2862" w:type="dxa"/>
            <w:shd w:val="clear" w:color="auto" w:fill="EAF1DD"/>
          </w:tcPr>
          <w:p w:rsidR="00B42460" w:rsidRPr="009622FC" w:rsidRDefault="00B42460" w:rsidP="00B42460">
            <w:pPr>
              <w:spacing w:after="0"/>
              <w:jc w:val="both"/>
              <w:rPr>
                <w:rFonts w:ascii="Garamond" w:hAnsi="Garamond"/>
                <w:sz w:val="18"/>
                <w:szCs w:val="20"/>
              </w:rPr>
            </w:pPr>
            <w:r w:rsidRPr="009622FC">
              <w:rPr>
                <w:rFonts w:ascii="Garamond" w:hAnsi="Garamond"/>
                <w:sz w:val="18"/>
                <w:szCs w:val="20"/>
              </w:rPr>
              <w:t>Proposal of designated forestland</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D6E3BC"/>
          </w:tcPr>
          <w:p w:rsidR="00B42460" w:rsidRPr="009622FC" w:rsidRDefault="00B42460" w:rsidP="00B42460">
            <w:pPr>
              <w:tabs>
                <w:tab w:val="left" w:pos="0"/>
              </w:tabs>
              <w:spacing w:after="0"/>
              <w:rPr>
                <w:rFonts w:ascii="Garamond" w:hAnsi="Garamond"/>
                <w:sz w:val="18"/>
                <w:szCs w:val="20"/>
              </w:rPr>
            </w:pPr>
            <w:r w:rsidRPr="009622FC">
              <w:rPr>
                <w:rFonts w:ascii="Garamond" w:hAnsi="Garamond"/>
                <w:sz w:val="18"/>
                <w:szCs w:val="20"/>
              </w:rPr>
              <w:t xml:space="preserve">Approving forestland boandary demarcations </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Establishing a forestland boundary demarcation committee </w:t>
            </w:r>
          </w:p>
        </w:tc>
        <w:tc>
          <w:tcPr>
            <w:tcW w:w="2862"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Committee's demarcation of forestland boundary through the compilation of official reports </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Designating forestland use </w:t>
            </w: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Technical consideration for district government's proposal </w:t>
            </w:r>
          </w:p>
        </w:tc>
        <w:tc>
          <w:tcPr>
            <w:tcW w:w="2862"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Proposing a shift in forest status and function, proposal for APL to be an area, forest area use and exchange and release </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Granting IUPHHK HA/HT/RE business licenses</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Giving recommendation of application for IUPHHK HA/HT/RE business licenses</w:t>
            </w:r>
          </w:p>
        </w:tc>
        <w:tc>
          <w:tcPr>
            <w:tcW w:w="2862"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Giving technical consideration for recommendation of IUPHHK HA/HT/RE business licenses</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Designating reserve areas of HKM/HTR/HD</w:t>
            </w: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Giving recommendations regarding HKM/HTR/HD reserve proposals</w:t>
            </w:r>
          </w:p>
        </w:tc>
        <w:tc>
          <w:tcPr>
            <w:tcW w:w="2862"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Issuing HKM/HTR/HD permits in the reserve areas designated by the Minister</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The drafting of rehabilitation governance plan within conservation areas and its governance authority at cross-district level</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The drafting of rehabilitation governance plan within protection and production forest areas and its governance authority at cross-district level</w:t>
            </w:r>
          </w:p>
        </w:tc>
        <w:tc>
          <w:tcPr>
            <w:tcW w:w="2862"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The stipulation of rehabilitation governance plan within forest, protection forest and production forest areas not imposed with usage permit </w:t>
            </w:r>
          </w:p>
          <w:p w:rsidR="00B42460" w:rsidRPr="009622FC" w:rsidRDefault="00B42460" w:rsidP="00B42460">
            <w:pPr>
              <w:tabs>
                <w:tab w:val="left" w:pos="0"/>
              </w:tabs>
              <w:spacing w:after="0"/>
              <w:jc w:val="both"/>
              <w:rPr>
                <w:rFonts w:ascii="Garamond" w:hAnsi="Garamond"/>
                <w:sz w:val="18"/>
                <w:szCs w:val="20"/>
              </w:rPr>
            </w:pPr>
          </w:p>
          <w:p w:rsidR="00B42460" w:rsidRPr="009622FC" w:rsidRDefault="00B42460" w:rsidP="00B42460">
            <w:pPr>
              <w:tabs>
                <w:tab w:val="left" w:pos="0"/>
              </w:tabs>
              <w:spacing w:after="0"/>
              <w:jc w:val="both"/>
              <w:rPr>
                <w:rFonts w:ascii="Garamond" w:hAnsi="Garamond"/>
                <w:sz w:val="18"/>
                <w:szCs w:val="20"/>
              </w:rPr>
            </w:pP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Control of forest fires at national level</w:t>
            </w:r>
          </w:p>
          <w:p w:rsidR="00B42460" w:rsidRPr="009622FC" w:rsidRDefault="00B42460" w:rsidP="00B42460">
            <w:pPr>
              <w:tabs>
                <w:tab w:val="left" w:pos="0"/>
              </w:tabs>
              <w:spacing w:after="0"/>
              <w:jc w:val="both"/>
              <w:rPr>
                <w:rFonts w:ascii="Garamond" w:hAnsi="Garamond"/>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Control of forest fires at national level</w:t>
            </w:r>
          </w:p>
          <w:p w:rsidR="00B42460" w:rsidRPr="009622FC" w:rsidRDefault="00B42460" w:rsidP="00B42460">
            <w:pPr>
              <w:tabs>
                <w:tab w:val="left" w:pos="0"/>
              </w:tabs>
              <w:spacing w:after="0"/>
              <w:jc w:val="both"/>
              <w:rPr>
                <w:rFonts w:ascii="Garamond" w:hAnsi="Garamond"/>
                <w:sz w:val="18"/>
                <w:szCs w:val="20"/>
              </w:rPr>
            </w:pPr>
          </w:p>
        </w:tc>
        <w:tc>
          <w:tcPr>
            <w:tcW w:w="2862"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Establishment of a forest fire control plan at the district level</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Monitoring and improvement of forestry PPNS capacity</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Appointment and placement of provincial forestry PPNS</w:t>
            </w:r>
          </w:p>
          <w:p w:rsidR="00B42460" w:rsidRPr="009622FC" w:rsidRDefault="00B42460" w:rsidP="00B42460">
            <w:pPr>
              <w:tabs>
                <w:tab w:val="left" w:pos="0"/>
              </w:tabs>
              <w:spacing w:after="0"/>
              <w:jc w:val="both"/>
              <w:rPr>
                <w:rFonts w:ascii="Garamond" w:hAnsi="Garamond"/>
                <w:sz w:val="18"/>
                <w:szCs w:val="20"/>
              </w:rPr>
            </w:pPr>
          </w:p>
        </w:tc>
        <w:tc>
          <w:tcPr>
            <w:tcW w:w="2862"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Appointment and placement of district forestry PPNS</w:t>
            </w:r>
          </w:p>
        </w:tc>
      </w:tr>
      <w:tr w:rsidR="00B42460" w:rsidRPr="009622FC" w:rsidTr="00E61ED2">
        <w:trPr>
          <w:jc w:val="center"/>
        </w:trPr>
        <w:tc>
          <w:tcPr>
            <w:tcW w:w="1098" w:type="dxa"/>
            <w:vMerge w:val="restart"/>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r w:rsidRPr="009622FC">
              <w:rPr>
                <w:rFonts w:ascii="Garamond" w:hAnsi="Garamond"/>
                <w:b/>
                <w:bCs/>
                <w:color w:val="FFFFFF"/>
                <w:sz w:val="18"/>
                <w:szCs w:val="20"/>
              </w:rPr>
              <w:t>Mining</w:t>
            </w: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IUP issuance </w:t>
            </w: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Inter-district IUP issuance  </w:t>
            </w:r>
          </w:p>
        </w:tc>
        <w:tc>
          <w:tcPr>
            <w:tcW w:w="2862"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District-level IUP issuance </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Granting approval of forest area lease principle or permit </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Granting forest area lease permit for non-commercial facility construction at 5 Ha wide.</w:t>
            </w:r>
          </w:p>
          <w:p w:rsidR="00B42460" w:rsidRPr="009622FC" w:rsidRDefault="00B42460" w:rsidP="00B42460">
            <w:pPr>
              <w:tabs>
                <w:tab w:val="left" w:pos="0"/>
              </w:tabs>
              <w:spacing w:after="0"/>
              <w:jc w:val="both"/>
              <w:rPr>
                <w:rFonts w:ascii="Garamond" w:hAnsi="Garamond"/>
                <w:sz w:val="18"/>
                <w:szCs w:val="20"/>
              </w:rPr>
            </w:pPr>
          </w:p>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Recommendation of lease permit for IUP issued by Regent in forest areas </w:t>
            </w:r>
          </w:p>
        </w:tc>
        <w:tc>
          <w:tcPr>
            <w:tcW w:w="2862"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Giving technical considerations of application for area lease permit</w:t>
            </w:r>
          </w:p>
          <w:p w:rsidR="00B42460" w:rsidRPr="009622FC" w:rsidRDefault="00B42460" w:rsidP="00B42460">
            <w:pPr>
              <w:tabs>
                <w:tab w:val="left" w:pos="0"/>
              </w:tabs>
              <w:spacing w:after="0"/>
              <w:jc w:val="both"/>
              <w:rPr>
                <w:rFonts w:ascii="Garamond" w:hAnsi="Garamond"/>
                <w:sz w:val="18"/>
                <w:szCs w:val="20"/>
              </w:rPr>
            </w:pPr>
          </w:p>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 </w:t>
            </w:r>
          </w:p>
        </w:tc>
      </w:tr>
      <w:tr w:rsidR="00B42460" w:rsidRPr="009622FC" w:rsidTr="00E61ED2">
        <w:trPr>
          <w:jc w:val="center"/>
        </w:trPr>
        <w:tc>
          <w:tcPr>
            <w:tcW w:w="1098" w:type="dxa"/>
            <w:vMerge/>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District-level IUP issuance</w:t>
            </w: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District-level IUP issuance</w:t>
            </w:r>
          </w:p>
        </w:tc>
        <w:tc>
          <w:tcPr>
            <w:tcW w:w="2862"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District-level IUP issuance</w:t>
            </w:r>
          </w:p>
        </w:tc>
      </w:tr>
      <w:tr w:rsidR="00B42460" w:rsidRPr="009622FC" w:rsidTr="00E61ED2">
        <w:trPr>
          <w:jc w:val="center"/>
        </w:trPr>
        <w:tc>
          <w:tcPr>
            <w:tcW w:w="1098" w:type="dxa"/>
            <w:vMerge w:val="restart"/>
            <w:tcBorders>
              <w:left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p>
          <w:p w:rsidR="00B42460" w:rsidRPr="009622FC" w:rsidRDefault="00B42460" w:rsidP="00B42460">
            <w:pPr>
              <w:tabs>
                <w:tab w:val="left" w:pos="0"/>
              </w:tabs>
              <w:spacing w:after="0"/>
              <w:jc w:val="center"/>
              <w:rPr>
                <w:rFonts w:ascii="Garamond" w:hAnsi="Garamond"/>
                <w:b/>
                <w:bCs/>
                <w:color w:val="FFFFFF"/>
                <w:sz w:val="18"/>
                <w:szCs w:val="20"/>
              </w:rPr>
            </w:pPr>
            <w:r w:rsidRPr="009622FC">
              <w:rPr>
                <w:rFonts w:ascii="Garamond" w:hAnsi="Garamond"/>
                <w:b/>
                <w:bCs/>
                <w:color w:val="FFFFFF"/>
                <w:sz w:val="18"/>
                <w:szCs w:val="20"/>
              </w:rPr>
              <w:t>Plantations</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Stipulating NPSK (criteria guidelines of standard norms)</w:t>
            </w:r>
          </w:p>
        </w:tc>
        <w:tc>
          <w:tcPr>
            <w:tcW w:w="2880"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Issuing inter-district IUPs</w:t>
            </w:r>
          </w:p>
          <w:p w:rsidR="00B42460" w:rsidRPr="009622FC" w:rsidRDefault="00B42460" w:rsidP="00B42460">
            <w:pPr>
              <w:tabs>
                <w:tab w:val="left" w:pos="0"/>
              </w:tabs>
              <w:spacing w:after="0"/>
              <w:jc w:val="both"/>
              <w:rPr>
                <w:rFonts w:ascii="Garamond" w:hAnsi="Garamond"/>
                <w:sz w:val="18"/>
                <w:szCs w:val="20"/>
              </w:rPr>
            </w:pPr>
          </w:p>
        </w:tc>
        <w:tc>
          <w:tcPr>
            <w:tcW w:w="2862" w:type="dxa"/>
            <w:shd w:val="clear" w:color="auto" w:fill="D6E3BC"/>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Issuing IUP in districts </w:t>
            </w:r>
          </w:p>
        </w:tc>
      </w:tr>
      <w:tr w:rsidR="00B42460" w:rsidRPr="009622FC" w:rsidTr="00E61ED2">
        <w:trPr>
          <w:jc w:val="center"/>
        </w:trPr>
        <w:tc>
          <w:tcPr>
            <w:tcW w:w="1098" w:type="dxa"/>
            <w:vMerge/>
            <w:tcBorders>
              <w:left w:val="single" w:sz="4" w:space="0" w:color="FFFFFF"/>
              <w:bottom w:val="single" w:sz="4" w:space="0" w:color="FFFFFF"/>
            </w:tcBorders>
            <w:shd w:val="clear" w:color="auto" w:fill="9BBB59"/>
          </w:tcPr>
          <w:p w:rsidR="00B42460" w:rsidRPr="009622FC" w:rsidRDefault="00B42460" w:rsidP="00B42460">
            <w:pPr>
              <w:tabs>
                <w:tab w:val="left" w:pos="0"/>
              </w:tabs>
              <w:spacing w:after="0"/>
              <w:jc w:val="center"/>
              <w:rPr>
                <w:rFonts w:ascii="Garamond" w:hAnsi="Garamond"/>
                <w:b/>
                <w:bCs/>
                <w:color w:val="FFFFFF"/>
                <w:sz w:val="18"/>
                <w:szCs w:val="20"/>
              </w:rPr>
            </w:pP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 xml:space="preserve">Issuing Decision Letters for the release of forestland (Ministry of Forestry)  </w:t>
            </w:r>
          </w:p>
        </w:tc>
        <w:tc>
          <w:tcPr>
            <w:tcW w:w="2880"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Proposing the release of forestland for a plantation</w:t>
            </w:r>
          </w:p>
        </w:tc>
        <w:tc>
          <w:tcPr>
            <w:tcW w:w="2862" w:type="dxa"/>
            <w:shd w:val="clear" w:color="auto" w:fill="EAF1DD"/>
          </w:tcPr>
          <w:p w:rsidR="00B42460" w:rsidRPr="009622FC" w:rsidRDefault="00B42460" w:rsidP="00B42460">
            <w:pPr>
              <w:tabs>
                <w:tab w:val="left" w:pos="0"/>
              </w:tabs>
              <w:spacing w:after="0"/>
              <w:jc w:val="both"/>
              <w:rPr>
                <w:rFonts w:ascii="Garamond" w:hAnsi="Garamond"/>
                <w:sz w:val="18"/>
                <w:szCs w:val="20"/>
              </w:rPr>
            </w:pPr>
            <w:r w:rsidRPr="009622FC">
              <w:rPr>
                <w:rFonts w:ascii="Garamond" w:hAnsi="Garamond"/>
                <w:sz w:val="18"/>
                <w:szCs w:val="20"/>
              </w:rPr>
              <w:t>Proposing the release of forestland for a plantation</w:t>
            </w:r>
          </w:p>
        </w:tc>
      </w:tr>
    </w:tbl>
    <w:p w:rsidR="00B42460" w:rsidRPr="00395AA1" w:rsidRDefault="00B42460" w:rsidP="00B42460">
      <w:pPr>
        <w:tabs>
          <w:tab w:val="left" w:pos="0"/>
        </w:tabs>
        <w:spacing w:after="0"/>
        <w:jc w:val="both"/>
        <w:rPr>
          <w:rFonts w:ascii="Garamond" w:hAnsi="Garamond"/>
          <w:b/>
          <w:lang w:val="en-US"/>
        </w:rPr>
      </w:pPr>
    </w:p>
    <w:sectPr w:rsidR="00B42460" w:rsidRPr="00395AA1" w:rsidSect="00B42460">
      <w:footerReference w:type="defaul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05" w:rsidRDefault="00760805" w:rsidP="00B42460">
      <w:pPr>
        <w:spacing w:after="0" w:line="240" w:lineRule="auto"/>
      </w:pPr>
      <w:r>
        <w:separator/>
      </w:r>
    </w:p>
  </w:endnote>
  <w:endnote w:type="continuationSeparator" w:id="0">
    <w:p w:rsidR="00760805" w:rsidRDefault="00760805" w:rsidP="00B42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00000A87" w:usb1="00000000" w:usb2="00000000" w:usb3="00000000" w:csb0="000000BF" w:csb1="00000000"/>
  </w:font>
  <w:font w:name="AGaramondPro-Regular">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6" w:rsidRDefault="005E5906" w:rsidP="005A0E07">
    <w:pPr>
      <w:pStyle w:val="Footer"/>
      <w:framePr w:wrap="around" w:vAnchor="text" w:hAnchor="margin" w:xAlign="outside" w:y="1"/>
      <w:rPr>
        <w:rStyle w:val="PageNumber"/>
        <w:lang w:bidi="pt-PT"/>
      </w:rPr>
    </w:pPr>
    <w:r>
      <w:rPr>
        <w:rStyle w:val="PageNumber"/>
      </w:rPr>
      <w:fldChar w:fldCharType="begin"/>
    </w:r>
    <w:r>
      <w:rPr>
        <w:rStyle w:val="PageNumber"/>
      </w:rPr>
      <w:instrText xml:space="preserve">PAGE  </w:instrText>
    </w:r>
    <w:r>
      <w:rPr>
        <w:rStyle w:val="PageNumber"/>
      </w:rPr>
      <w:fldChar w:fldCharType="end"/>
    </w:r>
  </w:p>
  <w:p w:rsidR="005E5906" w:rsidRDefault="005E5906" w:rsidP="00B4246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6" w:rsidRDefault="005E5906" w:rsidP="005A0E07">
    <w:pPr>
      <w:pStyle w:val="Footer"/>
      <w:framePr w:wrap="around" w:vAnchor="text" w:hAnchor="margin" w:xAlign="outside" w:y="1"/>
      <w:rPr>
        <w:rStyle w:val="PageNumber"/>
        <w:lang w:bidi="pt-PT"/>
      </w:rPr>
    </w:pPr>
    <w:r>
      <w:rPr>
        <w:rStyle w:val="PageNumber"/>
      </w:rPr>
      <w:fldChar w:fldCharType="begin"/>
    </w:r>
    <w:r>
      <w:rPr>
        <w:rStyle w:val="PageNumber"/>
      </w:rPr>
      <w:instrText xml:space="preserve">PAGE  </w:instrText>
    </w:r>
    <w:r>
      <w:rPr>
        <w:rStyle w:val="PageNumber"/>
      </w:rPr>
      <w:fldChar w:fldCharType="separate"/>
    </w:r>
    <w:r w:rsidR="00E024BA">
      <w:rPr>
        <w:rStyle w:val="PageNumber"/>
        <w:noProof/>
      </w:rPr>
      <w:t>viii</w:t>
    </w:r>
    <w:r>
      <w:rPr>
        <w:rStyle w:val="PageNumber"/>
      </w:rPr>
      <w:fldChar w:fldCharType="end"/>
    </w:r>
  </w:p>
  <w:p w:rsidR="005E5906" w:rsidRDefault="005E5906" w:rsidP="00B42460">
    <w:pPr>
      <w:pStyle w:val="Footer"/>
      <w:pBdr>
        <w:top w:val="single" w:sz="4" w:space="1" w:color="D9D9D9"/>
      </w:pBdr>
      <w:ind w:right="360" w:firstLine="360"/>
      <w:rPr>
        <w:b/>
        <w:bCs/>
      </w:rPr>
    </w:pPr>
    <w:r>
      <w:rPr>
        <w:b/>
        <w:bCs/>
      </w:rPr>
      <w:t xml:space="preserve"> | </w:t>
    </w:r>
    <w:r>
      <w:rPr>
        <w:color w:val="808080"/>
        <w:spacing w:val="60"/>
      </w:rPr>
      <w:t>Page</w:t>
    </w:r>
  </w:p>
  <w:p w:rsidR="005E5906" w:rsidRDefault="005E59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6" w:rsidRDefault="005E5906" w:rsidP="00B42460">
    <w:pPr>
      <w:pStyle w:val="Footer"/>
      <w:pBdr>
        <w:top w:val="single" w:sz="4" w:space="1" w:color="D9D9D9"/>
      </w:pBdr>
      <w:rPr>
        <w:b/>
        <w:bCs/>
      </w:rPr>
    </w:pPr>
    <w:r w:rsidRPr="00325726">
      <w:fldChar w:fldCharType="begin"/>
    </w:r>
    <w:r>
      <w:instrText xml:space="preserve"> PAGE   \* MERGEFORMAT </w:instrText>
    </w:r>
    <w:r w:rsidRPr="00325726">
      <w:fldChar w:fldCharType="separate"/>
    </w:r>
    <w:r w:rsidR="00E024BA" w:rsidRPr="00E024BA">
      <w:rPr>
        <w:b/>
        <w:bCs/>
        <w:noProof/>
      </w:rPr>
      <w:t>i</w:t>
    </w:r>
    <w:r>
      <w:rPr>
        <w:b/>
        <w:bCs/>
        <w:noProof/>
      </w:rPr>
      <w:fldChar w:fldCharType="end"/>
    </w:r>
    <w:r>
      <w:rPr>
        <w:b/>
        <w:bCs/>
      </w:rPr>
      <w:t xml:space="preserve"> | </w:t>
    </w:r>
    <w:r>
      <w:rPr>
        <w:color w:val="808080"/>
        <w:spacing w:val="60"/>
      </w:rPr>
      <w:t>Page</w:t>
    </w:r>
  </w:p>
  <w:p w:rsidR="005E5906" w:rsidRDefault="005E59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6" w:rsidRDefault="005E5906" w:rsidP="00B42460">
    <w:pPr>
      <w:pStyle w:val="Footer"/>
      <w:pBdr>
        <w:top w:val="single" w:sz="4" w:space="1" w:color="D9D9D9"/>
      </w:pBdr>
      <w:jc w:val="right"/>
    </w:pPr>
    <w:fldSimple w:instr=" PAGE   \* MERGEFORMAT ">
      <w:r w:rsidR="00E024BA">
        <w:rPr>
          <w:noProof/>
        </w:rPr>
        <w:t>56</w:t>
      </w:r>
    </w:fldSimple>
    <w:r>
      <w:t xml:space="preserve"> | </w:t>
    </w:r>
    <w:r>
      <w:rPr>
        <w:color w:val="7F7F7F"/>
        <w:spacing w:val="60"/>
      </w:rPr>
      <w:t>Page</w:t>
    </w:r>
  </w:p>
  <w:p w:rsidR="005E5906" w:rsidRDefault="005E5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05" w:rsidRDefault="00760805" w:rsidP="00B42460">
      <w:pPr>
        <w:spacing w:after="0" w:line="240" w:lineRule="auto"/>
      </w:pPr>
      <w:r>
        <w:separator/>
      </w:r>
    </w:p>
  </w:footnote>
  <w:footnote w:type="continuationSeparator" w:id="0">
    <w:p w:rsidR="00760805" w:rsidRDefault="00760805" w:rsidP="00B42460">
      <w:pPr>
        <w:spacing w:after="0" w:line="240" w:lineRule="auto"/>
      </w:pPr>
      <w:r>
        <w:continuationSeparator/>
      </w:r>
    </w:p>
  </w:footnote>
  <w:footnote w:id="1">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World Bank, Country Environmental Assessment, Investing in a More Sustainable Indonesia, 2009.</w:t>
      </w:r>
    </w:p>
  </w:footnote>
  <w:footnote w:id="2">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CIFOR, Tata Kelola Keuangan dan Dana Reboisasi selama Periode Soeharto dan Paska Soeharto 1998 – 2009, 2011.</w:t>
      </w:r>
    </w:p>
  </w:footnote>
  <w:footnote w:id="3">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w:t>
      </w:r>
      <w:r w:rsidR="0046676B">
        <w:rPr>
          <w:rFonts w:ascii="Garamond" w:hAnsi="Garamond" w:cs="Calibri"/>
          <w:sz w:val="16"/>
          <w:szCs w:val="16"/>
        </w:rPr>
        <w:t>Setengah</w:t>
      </w:r>
      <w:r w:rsidR="00063089">
        <w:rPr>
          <w:rFonts w:ascii="Garamond" w:hAnsi="Garamond" w:cs="Calibri"/>
          <w:sz w:val="16"/>
          <w:szCs w:val="16"/>
          <w:lang w:val="en-US"/>
        </w:rPr>
        <w:t xml:space="preserve"> </w:t>
      </w:r>
      <w:r w:rsidRPr="009622FC">
        <w:rPr>
          <w:rFonts w:ascii="Garamond" w:hAnsi="Garamond" w:cs="Calibri"/>
          <w:sz w:val="16"/>
          <w:szCs w:val="16"/>
        </w:rPr>
        <w:t>Hati Berantas Kejahatan Kehutanan, Indonesia Corruption Watch, 2012</w:t>
      </w:r>
    </w:p>
  </w:footnote>
  <w:footnote w:id="4">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008B6CAB">
        <w:rPr>
          <w:rFonts w:ascii="Garamond" w:hAnsi="Garamond"/>
          <w:sz w:val="16"/>
          <w:szCs w:val="16"/>
        </w:rPr>
        <w:t xml:space="preserve"> CIFOR, 2011 and World Ba</w:t>
      </w:r>
      <w:r w:rsidRPr="009622FC">
        <w:rPr>
          <w:rFonts w:ascii="Garamond" w:hAnsi="Garamond"/>
          <w:sz w:val="16"/>
          <w:szCs w:val="16"/>
        </w:rPr>
        <w:t xml:space="preserve">k, 2009, </w:t>
      </w:r>
      <w:r w:rsidRPr="009622FC">
        <w:rPr>
          <w:rFonts w:ascii="Garamond" w:hAnsi="Garamond"/>
          <w:i/>
          <w:sz w:val="16"/>
          <w:szCs w:val="16"/>
        </w:rPr>
        <w:t>ibid</w:t>
      </w:r>
      <w:r w:rsidRPr="009622FC">
        <w:rPr>
          <w:rFonts w:ascii="Garamond" w:hAnsi="Garamond"/>
          <w:sz w:val="16"/>
          <w:szCs w:val="16"/>
        </w:rPr>
        <w:t>.</w:t>
      </w:r>
    </w:p>
  </w:footnote>
  <w:footnote w:id="5">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See Measuring Commitment: An Analysis of the National Budget and Planning Policies on Land and Forest Governance in Indonesia, 2013, Seknas FITRA – The Asia Foundation, Jakarta. </w:t>
      </w:r>
    </w:p>
  </w:footnote>
  <w:footnote w:id="6">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SETAPAK (Selamatkan Hutan dan Lahan melalui Perbaikan Tata Kelola, or Save Land and Forests through Improved Governance) is one of The Asia Foundation's programs supported by UK Climate Change Unit (UKCCU). This program aims to support the Indonesian government’s efforts, and that of regional governments in particular, to improve sustainable management in land and forest governance. This program commenced at the end of 2011 and it is planned to wrap up in mid-2015. </w:t>
      </w:r>
    </w:p>
  </w:footnote>
  <w:footnote w:id="7">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In the process of selecting the SETAPAK program areas and when the research began, these districts were still part of the East Kalimantan province. In its current development, however, Bulungan district is included in the new province resulting its separation from East Kalimantan, namely, North Kalimantan province. To facilitate the analysis, this report still includes Bulungan district in East Kalimantan as an area of analysis. </w:t>
      </w:r>
    </w:p>
  </w:footnote>
  <w:footnote w:id="8">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M = APBD Plan, P = Amended APBD and R = Realized APBD.</w:t>
      </w:r>
    </w:p>
  </w:footnote>
  <w:footnote w:id="9">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Regional Budget An</w:t>
      </w:r>
      <w:r>
        <w:rPr>
          <w:rFonts w:ascii="Garamond" w:hAnsi="Garamond"/>
          <w:sz w:val="16"/>
          <w:szCs w:val="16"/>
        </w:rPr>
        <w:t>alysis</w:t>
      </w:r>
      <w:r w:rsidRPr="009622FC">
        <w:rPr>
          <w:rFonts w:ascii="Garamond" w:hAnsi="Garamond"/>
          <w:sz w:val="16"/>
          <w:szCs w:val="16"/>
        </w:rPr>
        <w:t>: Study of 2008-2011 APBD in 20 districts/municipalities in fou</w:t>
      </w:r>
      <w:r>
        <w:rPr>
          <w:rFonts w:ascii="Garamond" w:hAnsi="Garamond"/>
          <w:sz w:val="16"/>
          <w:szCs w:val="16"/>
        </w:rPr>
        <w:t>r provinces, Seknas FITRA, 2012</w:t>
      </w:r>
      <w:r w:rsidRPr="009622FC">
        <w:rPr>
          <w:rFonts w:ascii="Garamond" w:hAnsi="Garamond"/>
          <w:sz w:val="16"/>
          <w:szCs w:val="16"/>
        </w:rPr>
        <w:t>: 4</w:t>
      </w:r>
    </w:p>
  </w:footnote>
  <w:footnote w:id="10">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World Bank, 2009, </w:t>
      </w:r>
      <w:r w:rsidRPr="009622FC">
        <w:rPr>
          <w:rFonts w:ascii="Garamond" w:hAnsi="Garamond"/>
          <w:i/>
          <w:sz w:val="16"/>
          <w:szCs w:val="16"/>
        </w:rPr>
        <w:t>Investing in a More Sustainable Indonesia</w:t>
      </w:r>
      <w:r w:rsidRPr="009622FC">
        <w:rPr>
          <w:rFonts w:ascii="Garamond" w:hAnsi="Garamond"/>
          <w:sz w:val="16"/>
          <w:szCs w:val="16"/>
        </w:rPr>
        <w:t xml:space="preserve">, Jakarta. </w:t>
      </w:r>
    </w:p>
  </w:footnote>
  <w:footnote w:id="11">
    <w:p w:rsidR="005E5906" w:rsidRPr="0022799F" w:rsidRDefault="005E5906" w:rsidP="00EE6790">
      <w:pPr>
        <w:spacing w:after="0" w:line="240" w:lineRule="auto"/>
        <w:jc w:val="both"/>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Jatam data (2013) suggests that the ratio of mining inspectors to the number of companies and areas under monitoring is very low. Samarinda municipality, for example, has only four mining inspectors with a ratio of monitoring around 1 : 26 companies and 1 : 12,500 Ha. This means that one mining inspector is responsible for monitoring about 26 companies operating over 12,500 Ha. Furthermore, monitoring can only be carried out once a year due to a limited budget. Meanwhile, in East Kutai, the ratio reach to 1 : 19 companies over 330,000 Ha, with only two mining inspectors. (KOMPPAK, 2013: </w:t>
      </w:r>
      <w:r w:rsidRPr="0022799F">
        <w:rPr>
          <w:rFonts w:ascii="Garamond" w:hAnsi="Garamond"/>
          <w:i/>
          <w:sz w:val="16"/>
          <w:szCs w:val="16"/>
        </w:rPr>
        <w:t>Menyediakan Taring bagi Macan yang Ompong</w:t>
      </w:r>
      <w:r w:rsidRPr="0022799F">
        <w:rPr>
          <w:rFonts w:ascii="Garamond" w:hAnsi="Garamond"/>
          <w:b/>
          <w:i/>
          <w:sz w:val="16"/>
          <w:szCs w:val="16"/>
        </w:rPr>
        <w:t xml:space="preserve">: </w:t>
      </w:r>
      <w:r w:rsidRPr="0022799F">
        <w:rPr>
          <w:rFonts w:ascii="Garamond" w:hAnsi="Garamond"/>
          <w:i/>
          <w:sz w:val="16"/>
          <w:szCs w:val="16"/>
        </w:rPr>
        <w:t>Tanggapan Kelompok Sipil atas Rancangan Peraturan Daerah tentang Reklamasi dan Paska Tambang</w:t>
      </w:r>
      <w:r w:rsidRPr="009622FC">
        <w:rPr>
          <w:rFonts w:ascii="Garamond" w:hAnsi="Garamond"/>
          <w:sz w:val="16"/>
          <w:szCs w:val="16"/>
        </w:rPr>
        <w:t>, Kertas Posisi, Balikpapan).</w:t>
      </w:r>
      <w:r>
        <w:rPr>
          <w:rFonts w:ascii="Garamond" w:hAnsi="Garamond"/>
          <w:sz w:val="16"/>
          <w:szCs w:val="16"/>
          <w:lang w:val="en-US"/>
        </w:rPr>
        <w:t xml:space="preserve"> </w:t>
      </w:r>
    </w:p>
  </w:footnote>
  <w:footnote w:id="12">
    <w:p w:rsidR="005E5906" w:rsidRPr="009622FC" w:rsidRDefault="005E5906">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A Perda was established in a DPRD plenary session of East Kalimantan Province at the beginning of November 2013. The Perda number is currently under preparation by their legal department. </w:t>
      </w:r>
    </w:p>
  </w:footnote>
  <w:footnote w:id="13">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World Bank, 2009: Investing in a more Sustainable Indonesia, Jakarta</w:t>
      </w:r>
    </w:p>
  </w:footnote>
  <w:footnote w:id="14">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Kementerian Koordinator Bidang Perekonomian Republik Indonesia,2011:Dokumen MP3EI, Jakarta</w:t>
      </w:r>
    </w:p>
  </w:footnote>
  <w:footnote w:id="15">
    <w:p w:rsidR="005E5906" w:rsidRPr="009622FC" w:rsidRDefault="005E5906" w:rsidP="00B42460">
      <w:pPr>
        <w:pStyle w:val="FootnoteText"/>
        <w:jc w:val="both"/>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The amount of forestland under use permits for mining activities can be calculated by adding up the total area of forest use permits for mining exploitation and the total area of principal approval of use permits. The inclusion of principal approval in the calculation is based on the fact that in many cases, this principal approval is used by co</w:t>
      </w:r>
      <w:r>
        <w:rPr>
          <w:rFonts w:ascii="Garamond" w:hAnsi="Garamond"/>
          <w:sz w:val="16"/>
          <w:szCs w:val="16"/>
        </w:rPr>
        <w:t>mpanies for mining exploitation</w:t>
      </w:r>
      <w:r w:rsidRPr="009622FC">
        <w:rPr>
          <w:rFonts w:ascii="Garamond" w:hAnsi="Garamond"/>
          <w:sz w:val="16"/>
          <w:szCs w:val="16"/>
        </w:rPr>
        <w:t>: www.bpk.go.id/en/wp-content/uploads/2013/06/1.-hal-2-25.pdf</w:t>
      </w:r>
    </w:p>
  </w:footnote>
  <w:footnote w:id="16">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Total of 33 provinces. </w:t>
      </w:r>
    </w:p>
  </w:footnote>
  <w:footnote w:id="17">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It should be noted that each government publication contains different forest area figures</w:t>
      </w:r>
    </w:p>
  </w:footnote>
  <w:footnote w:id="18">
    <w:p w:rsidR="005E5906" w:rsidRPr="009622FC" w:rsidRDefault="005E5906" w:rsidP="00B42460">
      <w:pPr>
        <w:autoSpaceDE w:val="0"/>
        <w:autoSpaceDN w:val="0"/>
        <w:adjustRightInd w:val="0"/>
        <w:spacing w:after="0" w:line="240" w:lineRule="auto"/>
        <w:rPr>
          <w:rFonts w:ascii="Garamond" w:hAnsi="Garamond" w:cs="BookAntiqua"/>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w:t>
      </w:r>
      <w:r w:rsidRPr="009622FC">
        <w:rPr>
          <w:rFonts w:ascii="Garamond" w:hAnsi="Garamond" w:cs="BookAntiqua"/>
          <w:sz w:val="16"/>
          <w:szCs w:val="16"/>
        </w:rPr>
        <w:t>The 2012 data includes the extension/revision of the previous permits</w:t>
      </w:r>
    </w:p>
  </w:footnote>
  <w:footnote w:id="19">
    <w:p w:rsidR="005E5906" w:rsidRPr="009622FC" w:rsidRDefault="005E5906" w:rsidP="00B42460">
      <w:pPr>
        <w:autoSpaceDE w:val="0"/>
        <w:autoSpaceDN w:val="0"/>
        <w:adjustRightInd w:val="0"/>
        <w:spacing w:after="0" w:line="240" w:lineRule="auto"/>
        <w:rPr>
          <w:rFonts w:ascii="Garamond" w:hAnsi="Garamond" w:cs="BookAntiqua"/>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w:t>
      </w:r>
      <w:r w:rsidRPr="009622FC">
        <w:rPr>
          <w:rFonts w:ascii="Garamond" w:hAnsi="Garamond" w:cs="BookAntiqua"/>
          <w:sz w:val="16"/>
          <w:szCs w:val="16"/>
        </w:rPr>
        <w:t>The 2012 data includes the extension/revision of the previous permits</w:t>
      </w:r>
    </w:p>
  </w:footnote>
  <w:footnote w:id="20">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Presentation of “Tambang dan Keselamatan Rakyat”, Jatam, 2012</w:t>
      </w:r>
    </w:p>
  </w:footnote>
  <w:footnote w:id="21">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w:t>
      </w:r>
      <w:r>
        <w:rPr>
          <w:rFonts w:ascii="Garamond" w:hAnsi="Garamond"/>
          <w:sz w:val="16"/>
          <w:szCs w:val="16"/>
          <w:lang w:val="en-US"/>
        </w:rPr>
        <w:t>Forestry Minitry</w:t>
      </w:r>
      <w:r w:rsidRPr="009622FC">
        <w:rPr>
          <w:rFonts w:ascii="Garamond" w:hAnsi="Garamond"/>
          <w:sz w:val="16"/>
          <w:szCs w:val="16"/>
        </w:rPr>
        <w:t>, 2012:</w:t>
      </w:r>
      <w:r>
        <w:rPr>
          <w:rFonts w:ascii="Garamond" w:hAnsi="Garamond"/>
          <w:sz w:val="16"/>
          <w:szCs w:val="16"/>
          <w:lang w:val="en-US"/>
        </w:rPr>
        <w:t xml:space="preserve"> Forestry Profile in 33 provinces, </w:t>
      </w:r>
      <w:r>
        <w:rPr>
          <w:rFonts w:ascii="Garamond" w:hAnsi="Garamond"/>
          <w:sz w:val="16"/>
          <w:szCs w:val="16"/>
        </w:rPr>
        <w:t>Jakarta</w:t>
      </w:r>
      <w:r w:rsidRPr="009622FC">
        <w:rPr>
          <w:rFonts w:ascii="Garamond" w:hAnsi="Garamond"/>
          <w:sz w:val="16"/>
          <w:szCs w:val="16"/>
        </w:rPr>
        <w:t xml:space="preserve">: </w:t>
      </w:r>
      <w:r>
        <w:rPr>
          <w:rFonts w:ascii="Garamond" w:hAnsi="Garamond"/>
          <w:sz w:val="16"/>
          <w:szCs w:val="16"/>
          <w:lang w:val="en-US"/>
        </w:rPr>
        <w:t>h</w:t>
      </w:r>
      <w:r w:rsidRPr="009622FC">
        <w:rPr>
          <w:rFonts w:ascii="Garamond" w:hAnsi="Garamond"/>
          <w:sz w:val="16"/>
          <w:szCs w:val="16"/>
        </w:rPr>
        <w:t>ttp://www.dephut.go.id/uploads/files/c61ee2b47b73147c42bf266ad0d556a5.pdf</w:t>
      </w:r>
    </w:p>
  </w:footnote>
  <w:footnote w:id="22">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Malinau, Nunukan, Tanah Tidung, Tarakan and Bulungan have been included as regencies of North Kalimantan Province</w:t>
      </w:r>
    </w:p>
  </w:footnote>
  <w:footnote w:id="23">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Dirjen Perkebunan, Kementerian Pertanian, 2012: Profil Kelapa Sawit di Indonesia</w:t>
      </w:r>
    </w:p>
  </w:footnote>
  <w:footnote w:id="24">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http://fwi.or.id/tag/intip-hutan/</w:t>
      </w:r>
    </w:p>
  </w:footnote>
  <w:footnote w:id="25">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Provinsi Kalimantan Timur dalam angka tahun 2012</w:t>
      </w:r>
    </w:p>
  </w:footnote>
  <w:footnote w:id="26">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RKPD Pemerintah Provinsi Kalimantan Timur tahun 2013</w:t>
      </w:r>
    </w:p>
  </w:footnote>
  <w:footnote w:id="27">
    <w:p w:rsidR="005E5906" w:rsidRPr="00425380"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It should be noted that each government publication contains different forest area figures</w:t>
      </w:r>
      <w:r>
        <w:rPr>
          <w:rFonts w:ascii="Garamond" w:hAnsi="Garamond"/>
          <w:sz w:val="16"/>
          <w:szCs w:val="16"/>
          <w:lang w:val="en-US"/>
        </w:rPr>
        <w:t>.</w:t>
      </w:r>
    </w:p>
  </w:footnote>
  <w:footnote w:id="28">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Kajian Tata Kelola Hutan dan Lahan di Kalimantan Barat, Puska Antropologi UI – The Asia Foundation, 2013</w:t>
      </w:r>
    </w:p>
  </w:footnote>
  <w:footnote w:id="29">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Sekolah Tinggi Pertanahan Nasional, April 2013, Bhumi Jurnal Ilmiah Tertanahan PPPM – STPN nomor 37 tahun 12, April 2013, Yogjakarta</w:t>
      </w:r>
    </w:p>
  </w:footnote>
  <w:footnote w:id="30">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http://regional.kompas.com/read/2013/09/27/1000488/Konflik.Lahan.Terus.Muncul</w:t>
      </w:r>
    </w:p>
  </w:footnote>
  <w:footnote w:id="31">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In these terms, critical land is a sum of the critical and very critical land data.</w:t>
      </w:r>
    </w:p>
  </w:footnote>
  <w:footnote w:id="32">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Based on the critical land data released by the government, the critical land identification includes residential and community agricultural lands.</w:t>
      </w:r>
    </w:p>
  </w:footnote>
  <w:footnote w:id="33">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RKPD Pemerintah Provinsi Kalimantan Timur tahun 2013</w:t>
      </w:r>
    </w:p>
  </w:footnote>
  <w:footnote w:id="34">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Seknas FITRA dan The Asia Foundation, 2013:Mengukur Komitmen: Analisis Kebijakan Perencanaan dan Anggaran Nasional terhadap Pengelolaan Hutan dan Lahan di Indonesia, Jakarta. </w:t>
      </w:r>
    </w:p>
  </w:footnote>
  <w:footnote w:id="35">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www.antarabengkulu.com/berita/18940/hutan-harapan-terancam-tambang-batubara</w:t>
      </w:r>
    </w:p>
  </w:footnote>
  <w:footnote w:id="36">
    <w:p w:rsidR="005E5906" w:rsidRPr="009622FC" w:rsidRDefault="005E5906" w:rsidP="00B42460">
      <w:pPr>
        <w:pStyle w:val="FootnoteText"/>
        <w:jc w:val="both"/>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Pusat Kajian Antropologi Universitas Indonesia, 2013 in a study report “Analisis Ekonomi Politik dan Agenda Perubahan Tata Kelola Hutan dan Lahan di Provinsi Sumatra Selatan.”</w:t>
      </w:r>
    </w:p>
  </w:footnote>
  <w:footnote w:id="37">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Konsolidasi laporan keuangan pemerintah daerah dengan laporan keuangan transfer ke daerah tahun anggaran 2008 &amp; 2009, prepared by Direktorat Jenderal Perimbangan Keuangan, Kemenkeu RI.</w:t>
      </w:r>
    </w:p>
  </w:footnote>
  <w:footnote w:id="38">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Mumbunan,S dan Wahyudi, R (2012), Transparansi Penerimaan Industri Ekstratktif Sektor Kehutanan di Indonesia, Article 33, Jakarta.</w:t>
      </w:r>
    </w:p>
    <w:p w:rsidR="005E5906" w:rsidRPr="009622FC" w:rsidRDefault="005E5906" w:rsidP="00B42460">
      <w:pPr>
        <w:pStyle w:val="FootnoteText"/>
        <w:rPr>
          <w:rFonts w:ascii="Garamond" w:hAnsi="Garamond"/>
          <w:sz w:val="16"/>
          <w:szCs w:val="16"/>
          <w:lang w:val="en-US"/>
        </w:rPr>
      </w:pPr>
    </w:p>
  </w:footnote>
  <w:footnote w:id="39">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This term was developed by analysts of regional budgets, pioneered by Seknas FITRA. </w:t>
      </w:r>
    </w:p>
  </w:footnote>
  <w:footnote w:id="40">
    <w:p w:rsidR="005E5906" w:rsidRPr="009622FC" w:rsidRDefault="005E5906" w:rsidP="00B42460">
      <w:pPr>
        <w:jc w:val="both"/>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The calculation of per capita national revenue is done by accumulating the total revenue of regencies and provinces throughout Indonesia, and dividing it by the total population. The same applies for the calculation of provincial per capita revenue, calculated by adding up the total revenue of districts and municipalities in the province, and dividing the sum by the province’s total population. The population data used in this study refers to the Population Census conducted by BPS in 2010.</w:t>
      </w:r>
    </w:p>
  </w:footnote>
  <w:footnote w:id="41">
    <w:p w:rsidR="005E5906" w:rsidRPr="009622FC" w:rsidRDefault="005E5906" w:rsidP="00B42460">
      <w:pPr>
        <w:pStyle w:val="FootnoteText"/>
        <w:rPr>
          <w:rFonts w:ascii="Garamond" w:hAnsi="Garamond"/>
          <w:sz w:val="16"/>
          <w:szCs w:val="16"/>
          <w:highlight w:val="yellow"/>
          <w:lang w:val="en-US"/>
        </w:rPr>
      </w:pPr>
      <w:r w:rsidRPr="009622FC">
        <w:rPr>
          <w:rStyle w:val="FootnoteReference"/>
          <w:rFonts w:ascii="Garamond" w:hAnsi="Garamond"/>
          <w:sz w:val="16"/>
          <w:szCs w:val="16"/>
        </w:rPr>
        <w:footnoteRef/>
      </w:r>
      <w:r w:rsidRPr="009622FC">
        <w:rPr>
          <w:rFonts w:ascii="Garamond" w:hAnsi="Garamond"/>
          <w:sz w:val="16"/>
          <w:szCs w:val="16"/>
        </w:rPr>
        <w:t xml:space="preserve">Yuli Isnadi, Opini: “Kutukan Sumberdaya Alam” in </w:t>
      </w:r>
      <w:hyperlink w:history="1">
        <w:r w:rsidRPr="009622FC">
          <w:rPr>
            <w:rStyle w:val="Hyperlink"/>
            <w:rFonts w:ascii="Garamond" w:hAnsi="Garamond"/>
            <w:sz w:val="16"/>
            <w:szCs w:val="16"/>
          </w:rPr>
          <w:t>riaupos.co</w:t>
        </w:r>
      </w:hyperlink>
      <w:r w:rsidRPr="009622FC">
        <w:rPr>
          <w:rFonts w:ascii="Garamond" w:hAnsi="Garamond"/>
          <w:sz w:val="16"/>
          <w:szCs w:val="16"/>
        </w:rPr>
        <w:t>. Downloaded from http://www.riaupos.co/2358-opini--kutukan-sumber-daya-alam-.html#.UpXRQuJElUY</w:t>
      </w:r>
    </w:p>
  </w:footnote>
  <w:footnote w:id="42">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This term is used by researchers of budget analysis, including Seknas FITRA</w:t>
      </w:r>
    </w:p>
  </w:footnote>
  <w:footnote w:id="43">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Seknas FITRA dan Asia Foundation, Analisis Anggaran Daerah 2011; Studi Terhadap APBD Tahun 2008-2011 di 20 Kabupaten/Kota di 4 Provinsi Supported by USAID in KINERJA program.</w:t>
      </w:r>
    </w:p>
  </w:footnote>
  <w:footnote w:id="44">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Since 2009 – recently, Seknas FITRA in the support of the Asia Foundation has conducted studies on regional budget in 72 regencies/municipalities and 7 provinces.</w:t>
      </w:r>
    </w:p>
  </w:footnote>
  <w:footnote w:id="45">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Ministerial Regulation of Home Affairs No 37 of 2012 concerning the General Guidelines of 2013 APBD Drafting. </w:t>
      </w:r>
    </w:p>
  </w:footnote>
  <w:footnote w:id="46">
    <w:p w:rsidR="005E5906" w:rsidRPr="009622FC" w:rsidRDefault="005E5906" w:rsidP="00254E2D">
      <w:pPr>
        <w:spacing w:after="0"/>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Based on the Ministerial Regulation of Home Affairs Number 32/2012, grant is defined as a monetary/goods aids from regional government to the central government, other regional governments, regional companies, society and civil organization whose allocation has been specifically set. Social assistance, on the other hand, may take the form of money/goods to individuals, families, groups and/or society. Both are of voluntary and non-binding nature and may not be performed continuously.</w:t>
      </w:r>
    </w:p>
  </w:footnote>
  <w:footnote w:id="47">
    <w:p w:rsidR="005E5906" w:rsidRPr="009622FC" w:rsidRDefault="005E5906" w:rsidP="00254E2D">
      <w:pPr>
        <w:spacing w:after="0"/>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Seknas FITRA and The Asia Foundation, Studi Anggaran Daerah 2010; Studi terhadap Anggaran Tahun 2007</w:t>
      </w:r>
      <w:r w:rsidRPr="009622FC">
        <w:rPr>
          <w:rFonts w:ascii="Cambria Math" w:hAnsi="Cambria Math" w:cs="Cambria Math"/>
          <w:sz w:val="16"/>
          <w:szCs w:val="16"/>
        </w:rPr>
        <w:t>‐</w:t>
      </w:r>
      <w:r w:rsidRPr="009622FC">
        <w:rPr>
          <w:rFonts w:ascii="Garamond" w:hAnsi="Garamond"/>
          <w:sz w:val="16"/>
          <w:szCs w:val="16"/>
        </w:rPr>
        <w:t xml:space="preserve">2010 di 42 kabupaten/kota dan 5 provinsi. Supported by </w:t>
      </w:r>
      <w:r w:rsidRPr="009622FC">
        <w:rPr>
          <w:rFonts w:ascii="Garamond" w:hAnsi="Garamond"/>
          <w:iCs/>
          <w:sz w:val="16"/>
          <w:szCs w:val="16"/>
        </w:rPr>
        <w:t>Department for International Development</w:t>
      </w:r>
      <w:r w:rsidRPr="009622FC">
        <w:rPr>
          <w:rFonts w:ascii="Garamond" w:hAnsi="Garamond"/>
          <w:sz w:val="16"/>
          <w:szCs w:val="16"/>
        </w:rPr>
        <w:t xml:space="preserve"> (</w:t>
      </w:r>
      <w:r w:rsidRPr="009622FC">
        <w:rPr>
          <w:rFonts w:ascii="Garamond" w:hAnsi="Garamond"/>
          <w:iCs/>
          <w:sz w:val="16"/>
          <w:szCs w:val="16"/>
        </w:rPr>
        <w:t>DFID</w:t>
      </w:r>
      <w:r w:rsidRPr="009622FC">
        <w:rPr>
          <w:rFonts w:ascii="Garamond" w:hAnsi="Garamond"/>
          <w:sz w:val="16"/>
          <w:szCs w:val="16"/>
        </w:rPr>
        <w:t>).</w:t>
      </w:r>
    </w:p>
  </w:footnote>
  <w:footnote w:id="48">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Laporan Ikhtisar Hasil Pemeriksaan Semester (IHPS) BPK Tahun 2012 Semester I, 2012.</w:t>
      </w:r>
    </w:p>
  </w:footnote>
  <w:footnote w:id="49">
    <w:p w:rsidR="005E5906" w:rsidRPr="009622FC" w:rsidRDefault="005E5906" w:rsidP="00254E2D">
      <w:pPr>
        <w:spacing w:after="0" w:line="240" w:lineRule="auto"/>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In this report, there are five affairs under review, namely environmental, spatial zoning, agricultural, forestry and energy resources mineral affairs spending.</w:t>
      </w:r>
    </w:p>
  </w:footnote>
  <w:footnote w:id="50">
    <w:p w:rsidR="005E5906" w:rsidRPr="009622FC" w:rsidRDefault="005E5906" w:rsidP="00254E2D">
      <w:pPr>
        <w:spacing w:after="0" w:line="240" w:lineRule="auto"/>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The optional affairs are those governmental affairs which are real and have potentials of improving social welfare according to the condition, specificity, and main potential of the relevant regions.</w:t>
      </w:r>
    </w:p>
  </w:footnote>
  <w:footnote w:id="51">
    <w:p w:rsidR="005E5906" w:rsidRPr="009622FC" w:rsidRDefault="005E5906" w:rsidP="00254E2D">
      <w:pPr>
        <w:spacing w:after="0" w:line="240" w:lineRule="auto"/>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Mandatory affairs are those governmental affairs the provincial and local governments are required to do, in relation to basic services.</w:t>
      </w:r>
    </w:p>
  </w:footnote>
  <w:footnote w:id="52">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RKPD Kab. Berau tahun 2013, BAB II - hal. 60-61.</w:t>
      </w:r>
    </w:p>
  </w:footnote>
  <w:footnote w:id="53">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See SiLPA analysis in regional financing section</w:t>
      </w:r>
    </w:p>
  </w:footnote>
  <w:footnote w:id="54">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http://health.liputan6.com/read/494714/menkes-orang-indonesia-konsumsi-10-batang-rokok-per-hari</w:t>
      </w:r>
    </w:p>
  </w:footnote>
  <w:footnote w:id="55">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The said DBH SDA has been deducted with DBH-DR.</w:t>
      </w:r>
    </w:p>
  </w:footnote>
  <w:footnote w:id="56">
    <w:p w:rsidR="005E5906" w:rsidRPr="009622FC" w:rsidRDefault="005E5906" w:rsidP="00B42460">
      <w:pPr>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As set forth in APBD spending by affairs (in appendix II of APBD Perda of each region)</w:t>
      </w:r>
    </w:p>
  </w:footnote>
  <w:footnote w:id="57">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ICEL, Seknas FITRA dan The Asia Foundation, 2013: Indeks Kelola Hutan dan Lahan : Kinerja Pemerintah Daerah dalam Pengelolaan Hutan dan Lahan di Indonesia, Jakarta</w:t>
      </w:r>
    </w:p>
  </w:footnote>
  <w:footnote w:id="58">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ICEL, </w:t>
      </w:r>
      <w:r w:rsidRPr="009622FC">
        <w:rPr>
          <w:rFonts w:ascii="Garamond" w:hAnsi="Garamond"/>
          <w:i/>
          <w:sz w:val="16"/>
          <w:szCs w:val="16"/>
        </w:rPr>
        <w:t>Laporan Penelitian Potret Reklamasi dan Pasca Tambang di Indonesia</w:t>
      </w:r>
      <w:r w:rsidRPr="009622FC">
        <w:rPr>
          <w:rFonts w:ascii="Garamond" w:hAnsi="Garamond"/>
          <w:sz w:val="16"/>
          <w:szCs w:val="16"/>
        </w:rPr>
        <w:t>, 2011.</w:t>
      </w:r>
    </w:p>
  </w:footnote>
  <w:footnote w:id="59">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RPJMD Kabupaten Kubu Raya 2009 - 2014</w:t>
      </w:r>
    </w:p>
  </w:footnote>
  <w:footnote w:id="60">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Deskripsi dan Analisis APBD TA. 2011, Direktorat Jenderal Peimbangan Keuangan (DJPK) – Kemenkeu RI, 2011</w:t>
      </w:r>
    </w:p>
  </w:footnote>
  <w:footnote w:id="61">
    <w:p w:rsidR="005E5906" w:rsidRPr="009622FC" w:rsidRDefault="005E5906" w:rsidP="00B42460">
      <w:pPr>
        <w:pStyle w:val="FootnoteText"/>
        <w:rPr>
          <w:rFonts w:ascii="Garamond" w:hAnsi="Garamond"/>
          <w:sz w:val="16"/>
          <w:szCs w:val="16"/>
        </w:rPr>
      </w:pPr>
      <w:r w:rsidRPr="009622FC">
        <w:rPr>
          <w:rStyle w:val="FootnoteReference"/>
          <w:rFonts w:ascii="Garamond" w:hAnsi="Garamond"/>
          <w:sz w:val="16"/>
          <w:szCs w:val="16"/>
        </w:rPr>
        <w:footnoteRef/>
      </w:r>
      <w:r w:rsidRPr="009622FC">
        <w:rPr>
          <w:rFonts w:ascii="Garamond" w:hAnsi="Garamond"/>
          <w:sz w:val="16"/>
          <w:szCs w:val="16"/>
        </w:rPr>
        <w:t xml:space="preserve"> Data processed by Seknas FITRA based on the realization of 2009-2011 APBD, downloaded from website djpk.depkeu.go.id.</w:t>
      </w:r>
    </w:p>
  </w:footnote>
  <w:footnote w:id="62">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See page 20 of Chapter III in RKPD Provinsi Kalimantan Timur 2013</w:t>
      </w:r>
    </w:p>
  </w:footnote>
  <w:footnote w:id="63">
    <w:p w:rsidR="005E5906" w:rsidRPr="009622FC" w:rsidRDefault="005E5906" w:rsidP="00B42460">
      <w:pPr>
        <w:pStyle w:val="FootnoteText"/>
        <w:rPr>
          <w:rFonts w:ascii="Garamond" w:hAnsi="Garamond"/>
          <w:sz w:val="16"/>
          <w:szCs w:val="16"/>
          <w:lang w:val="en-US"/>
        </w:rPr>
      </w:pPr>
      <w:r w:rsidRPr="009622FC">
        <w:rPr>
          <w:rStyle w:val="FootnoteReference"/>
          <w:rFonts w:ascii="Garamond" w:hAnsi="Garamond"/>
          <w:sz w:val="16"/>
          <w:szCs w:val="16"/>
        </w:rPr>
        <w:footnoteRef/>
      </w:r>
      <w:r w:rsidRPr="009622FC">
        <w:rPr>
          <w:rFonts w:ascii="Garamond" w:hAnsi="Garamond"/>
          <w:sz w:val="16"/>
          <w:szCs w:val="16"/>
        </w:rPr>
        <w:t xml:space="preserve"> Areas with *) sign are currently included within the territory of North Kalimantan Province. The inclusion of these areas to their parent province is just to facilitate the analysis and when the research is conducted those areas still belong to East Kalimantan.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4B2"/>
    <w:multiLevelType w:val="multilevel"/>
    <w:tmpl w:val="A3F44F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C36450"/>
    <w:multiLevelType w:val="hybridMultilevel"/>
    <w:tmpl w:val="53B6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3399C"/>
    <w:multiLevelType w:val="hybridMultilevel"/>
    <w:tmpl w:val="8A3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5C16"/>
    <w:multiLevelType w:val="hybridMultilevel"/>
    <w:tmpl w:val="F4A8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76EEC"/>
    <w:multiLevelType w:val="hybridMultilevel"/>
    <w:tmpl w:val="38D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53757"/>
    <w:multiLevelType w:val="hybridMultilevel"/>
    <w:tmpl w:val="65328614"/>
    <w:lvl w:ilvl="0" w:tplc="0421000B">
      <w:start w:val="1"/>
      <w:numFmt w:val="bullet"/>
      <w:lvlText w:val=""/>
      <w:lvlJc w:val="left"/>
      <w:pPr>
        <w:ind w:left="1080" w:hanging="720"/>
      </w:pPr>
      <w:rPr>
        <w:rFonts w:ascii="Wingdings" w:hAnsi="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CC02F94"/>
    <w:multiLevelType w:val="hybridMultilevel"/>
    <w:tmpl w:val="07A2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A3532"/>
    <w:multiLevelType w:val="multilevel"/>
    <w:tmpl w:val="174AC4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D6CEC"/>
    <w:multiLevelType w:val="hybridMultilevel"/>
    <w:tmpl w:val="CC205EF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Wingdings"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Wingdings"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Wingdings"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15C0F35"/>
    <w:multiLevelType w:val="hybridMultilevel"/>
    <w:tmpl w:val="2C98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F06C2"/>
    <w:multiLevelType w:val="hybridMultilevel"/>
    <w:tmpl w:val="EA98478A"/>
    <w:lvl w:ilvl="0" w:tplc="B5E4A370">
      <w:numFmt w:val="bullet"/>
      <w:lvlText w:val="•"/>
      <w:lvlJc w:val="left"/>
      <w:pPr>
        <w:ind w:left="1080" w:hanging="720"/>
      </w:pPr>
      <w:rPr>
        <w:rFonts w:ascii="Calibri" w:eastAsia="Calibri" w:hAnsi="Calibri" w:cs="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37C0C76"/>
    <w:multiLevelType w:val="hybridMultilevel"/>
    <w:tmpl w:val="5C62A3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2439C7"/>
    <w:multiLevelType w:val="hybridMultilevel"/>
    <w:tmpl w:val="E4F2A3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E47F8F"/>
    <w:multiLevelType w:val="multilevel"/>
    <w:tmpl w:val="228A7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FE5FCE"/>
    <w:multiLevelType w:val="hybridMultilevel"/>
    <w:tmpl w:val="E46A373E"/>
    <w:lvl w:ilvl="0" w:tplc="04210001">
      <w:start w:val="1"/>
      <w:numFmt w:val="bullet"/>
      <w:lvlText w:val=""/>
      <w:lvlJc w:val="left"/>
      <w:pPr>
        <w:ind w:left="720" w:hanging="360"/>
      </w:pPr>
      <w:rPr>
        <w:rFonts w:ascii="Symbol" w:hAnsi="Symbol" w:hint="default"/>
      </w:rPr>
    </w:lvl>
    <w:lvl w:ilvl="1" w:tplc="A1D4CA3C">
      <w:numFmt w:val="bullet"/>
      <w:lvlText w:val="-"/>
      <w:lvlJc w:val="left"/>
      <w:pPr>
        <w:ind w:left="1440" w:hanging="360"/>
      </w:pPr>
      <w:rPr>
        <w:rFonts w:ascii="Calibri" w:eastAsia="Calibri" w:hAnsi="Calibri"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9E277BF"/>
    <w:multiLevelType w:val="multilevel"/>
    <w:tmpl w:val="6A966D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6A667E"/>
    <w:multiLevelType w:val="hybridMultilevel"/>
    <w:tmpl w:val="72C4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D010C"/>
    <w:multiLevelType w:val="hybridMultilevel"/>
    <w:tmpl w:val="A3846F7C"/>
    <w:lvl w:ilvl="0" w:tplc="03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57962"/>
    <w:multiLevelType w:val="hybridMultilevel"/>
    <w:tmpl w:val="BEFC6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E1290"/>
    <w:multiLevelType w:val="hybridMultilevel"/>
    <w:tmpl w:val="B31843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3883623"/>
    <w:multiLevelType w:val="hybridMultilevel"/>
    <w:tmpl w:val="407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538CD"/>
    <w:multiLevelType w:val="hybridMultilevel"/>
    <w:tmpl w:val="B39AD09A"/>
    <w:lvl w:ilvl="0" w:tplc="A1D4CA3C">
      <w:numFmt w:val="bullet"/>
      <w:lvlText w:val="-"/>
      <w:lvlJc w:val="left"/>
      <w:pPr>
        <w:ind w:left="720" w:hanging="360"/>
      </w:pPr>
      <w:rPr>
        <w:rFonts w:ascii="Calibri" w:eastAsia="Calibri" w:hAnsi="Calibri" w:cs="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C7337D0"/>
    <w:multiLevelType w:val="hybridMultilevel"/>
    <w:tmpl w:val="278230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7C6CF1"/>
    <w:multiLevelType w:val="hybridMultilevel"/>
    <w:tmpl w:val="A6CC88FE"/>
    <w:lvl w:ilvl="0" w:tplc="B5E4A370">
      <w:numFmt w:val="bullet"/>
      <w:lvlText w:val="•"/>
      <w:lvlJc w:val="left"/>
      <w:pPr>
        <w:ind w:left="1080" w:hanging="720"/>
      </w:pPr>
      <w:rPr>
        <w:rFonts w:ascii="Calibri" w:eastAsia="Calibri" w:hAnsi="Calibri" w:cs="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18C5CB5"/>
    <w:multiLevelType w:val="hybridMultilevel"/>
    <w:tmpl w:val="F8940C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2F2334"/>
    <w:multiLevelType w:val="hybridMultilevel"/>
    <w:tmpl w:val="5ABE9F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954E93"/>
    <w:multiLevelType w:val="hybridMultilevel"/>
    <w:tmpl w:val="64349DD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BFE78AC"/>
    <w:multiLevelType w:val="hybridMultilevel"/>
    <w:tmpl w:val="68B4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D238F"/>
    <w:multiLevelType w:val="hybridMultilevel"/>
    <w:tmpl w:val="C7BE6B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E8855C6"/>
    <w:multiLevelType w:val="hybridMultilevel"/>
    <w:tmpl w:val="88521D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EDB2F9D"/>
    <w:multiLevelType w:val="hybridMultilevel"/>
    <w:tmpl w:val="5F3E695C"/>
    <w:lvl w:ilvl="0" w:tplc="223EF408">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8469CE"/>
    <w:multiLevelType w:val="hybridMultilevel"/>
    <w:tmpl w:val="CDCC8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2E5775"/>
    <w:multiLevelType w:val="hybridMultilevel"/>
    <w:tmpl w:val="42AA05FE"/>
    <w:lvl w:ilvl="0" w:tplc="A1D4CA3C">
      <w:numFmt w:val="bullet"/>
      <w:lvlText w:val="-"/>
      <w:lvlJc w:val="left"/>
      <w:pPr>
        <w:ind w:left="720" w:hanging="360"/>
      </w:pPr>
      <w:rPr>
        <w:rFonts w:ascii="Calibri" w:eastAsia="Calibri" w:hAnsi="Calibri" w:cs="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8D45CF7"/>
    <w:multiLevelType w:val="hybridMultilevel"/>
    <w:tmpl w:val="573E4446"/>
    <w:lvl w:ilvl="0" w:tplc="0A18BC1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9DA154E"/>
    <w:multiLevelType w:val="hybridMultilevel"/>
    <w:tmpl w:val="7298C5D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Wingdings"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Wingdings"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770E2297"/>
    <w:multiLevelType w:val="hybridMultilevel"/>
    <w:tmpl w:val="59B4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0743D"/>
    <w:multiLevelType w:val="hybridMultilevel"/>
    <w:tmpl w:val="38DA8A36"/>
    <w:lvl w:ilvl="0" w:tplc="04090001">
      <w:start w:val="1"/>
      <w:numFmt w:val="bullet"/>
      <w:lvlText w:val=""/>
      <w:lvlJc w:val="left"/>
      <w:pPr>
        <w:tabs>
          <w:tab w:val="num" w:pos="786"/>
        </w:tabs>
        <w:ind w:left="786" w:hanging="360"/>
      </w:pPr>
      <w:rPr>
        <w:rFonts w:ascii="Symbol" w:hAnsi="Symbol" w:hint="default"/>
      </w:rPr>
    </w:lvl>
    <w:lvl w:ilvl="1" w:tplc="592C5842">
      <w:start w:val="52"/>
      <w:numFmt w:val="bullet"/>
      <w:lvlText w:val=""/>
      <w:lvlJc w:val="left"/>
      <w:pPr>
        <w:tabs>
          <w:tab w:val="num" w:pos="1506"/>
        </w:tabs>
        <w:ind w:left="1506" w:hanging="360"/>
      </w:pPr>
      <w:rPr>
        <w:rFonts w:ascii="Wingdings" w:hAnsi="Wingdings" w:hint="default"/>
      </w:rPr>
    </w:lvl>
    <w:lvl w:ilvl="2" w:tplc="4808B948">
      <w:start w:val="1"/>
      <w:numFmt w:val="bullet"/>
      <w:lvlText w:val=""/>
      <w:lvlJc w:val="left"/>
      <w:pPr>
        <w:tabs>
          <w:tab w:val="num" w:pos="2226"/>
        </w:tabs>
        <w:ind w:left="2226" w:hanging="360"/>
      </w:pPr>
      <w:rPr>
        <w:rFonts w:ascii="Wingdings" w:hAnsi="Wingdings" w:hint="default"/>
      </w:rPr>
    </w:lvl>
    <w:lvl w:ilvl="3" w:tplc="771839D6" w:tentative="1">
      <w:start w:val="1"/>
      <w:numFmt w:val="bullet"/>
      <w:lvlText w:val=""/>
      <w:lvlJc w:val="left"/>
      <w:pPr>
        <w:tabs>
          <w:tab w:val="num" w:pos="2946"/>
        </w:tabs>
        <w:ind w:left="2946" w:hanging="360"/>
      </w:pPr>
      <w:rPr>
        <w:rFonts w:ascii="Wingdings" w:hAnsi="Wingdings" w:hint="default"/>
      </w:rPr>
    </w:lvl>
    <w:lvl w:ilvl="4" w:tplc="5886A90E" w:tentative="1">
      <w:start w:val="1"/>
      <w:numFmt w:val="bullet"/>
      <w:lvlText w:val=""/>
      <w:lvlJc w:val="left"/>
      <w:pPr>
        <w:tabs>
          <w:tab w:val="num" w:pos="3666"/>
        </w:tabs>
        <w:ind w:left="3666" w:hanging="360"/>
      </w:pPr>
      <w:rPr>
        <w:rFonts w:ascii="Wingdings" w:hAnsi="Wingdings" w:hint="default"/>
      </w:rPr>
    </w:lvl>
    <w:lvl w:ilvl="5" w:tplc="0B0AC092" w:tentative="1">
      <w:start w:val="1"/>
      <w:numFmt w:val="bullet"/>
      <w:lvlText w:val=""/>
      <w:lvlJc w:val="left"/>
      <w:pPr>
        <w:tabs>
          <w:tab w:val="num" w:pos="4386"/>
        </w:tabs>
        <w:ind w:left="4386" w:hanging="360"/>
      </w:pPr>
      <w:rPr>
        <w:rFonts w:ascii="Wingdings" w:hAnsi="Wingdings" w:hint="default"/>
      </w:rPr>
    </w:lvl>
    <w:lvl w:ilvl="6" w:tplc="5078A1A0" w:tentative="1">
      <w:start w:val="1"/>
      <w:numFmt w:val="bullet"/>
      <w:lvlText w:val=""/>
      <w:lvlJc w:val="left"/>
      <w:pPr>
        <w:tabs>
          <w:tab w:val="num" w:pos="5106"/>
        </w:tabs>
        <w:ind w:left="5106" w:hanging="360"/>
      </w:pPr>
      <w:rPr>
        <w:rFonts w:ascii="Wingdings" w:hAnsi="Wingdings" w:hint="default"/>
      </w:rPr>
    </w:lvl>
    <w:lvl w:ilvl="7" w:tplc="29B42CC0" w:tentative="1">
      <w:start w:val="1"/>
      <w:numFmt w:val="bullet"/>
      <w:lvlText w:val=""/>
      <w:lvlJc w:val="left"/>
      <w:pPr>
        <w:tabs>
          <w:tab w:val="num" w:pos="5826"/>
        </w:tabs>
        <w:ind w:left="5826" w:hanging="360"/>
      </w:pPr>
      <w:rPr>
        <w:rFonts w:ascii="Wingdings" w:hAnsi="Wingdings" w:hint="default"/>
      </w:rPr>
    </w:lvl>
    <w:lvl w:ilvl="8" w:tplc="1736CA9E" w:tentative="1">
      <w:start w:val="1"/>
      <w:numFmt w:val="bullet"/>
      <w:lvlText w:val=""/>
      <w:lvlJc w:val="left"/>
      <w:pPr>
        <w:tabs>
          <w:tab w:val="num" w:pos="6546"/>
        </w:tabs>
        <w:ind w:left="6546" w:hanging="360"/>
      </w:pPr>
      <w:rPr>
        <w:rFonts w:ascii="Wingdings" w:hAnsi="Wingdings" w:hint="default"/>
      </w:rPr>
    </w:lvl>
  </w:abstractNum>
  <w:abstractNum w:abstractNumId="37">
    <w:nsid w:val="7CAB0F44"/>
    <w:multiLevelType w:val="hybridMultilevel"/>
    <w:tmpl w:val="948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6A1C45"/>
    <w:multiLevelType w:val="hybridMultilevel"/>
    <w:tmpl w:val="7A86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937D5"/>
    <w:multiLevelType w:val="hybridMultilevel"/>
    <w:tmpl w:val="3314E218"/>
    <w:lvl w:ilvl="0" w:tplc="04210001">
      <w:start w:val="1"/>
      <w:numFmt w:val="bullet"/>
      <w:lvlText w:val=""/>
      <w:lvlJc w:val="left"/>
      <w:pPr>
        <w:ind w:left="720" w:hanging="360"/>
      </w:pPr>
      <w:rPr>
        <w:rFonts w:ascii="Symbol" w:hAnsi="Symbol" w:hint="default"/>
      </w:rPr>
    </w:lvl>
    <w:lvl w:ilvl="1" w:tplc="5100C232">
      <w:numFmt w:val="bullet"/>
      <w:lvlText w:val="•"/>
      <w:lvlJc w:val="left"/>
      <w:pPr>
        <w:ind w:left="1440" w:hanging="360"/>
      </w:pPr>
      <w:rPr>
        <w:rFonts w:ascii="Calibri" w:eastAsia="Calibri" w:hAnsi="Calibri"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EFC666E"/>
    <w:multiLevelType w:val="hybridMultilevel"/>
    <w:tmpl w:val="943C57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Wingdings"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Wingdings"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Wingdings"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7F011066"/>
    <w:multiLevelType w:val="hybridMultilevel"/>
    <w:tmpl w:val="73727E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Wingding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Wingdings"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3"/>
  </w:num>
  <w:num w:numId="4">
    <w:abstractNumId w:val="34"/>
  </w:num>
  <w:num w:numId="5">
    <w:abstractNumId w:val="17"/>
  </w:num>
  <w:num w:numId="6">
    <w:abstractNumId w:val="7"/>
  </w:num>
  <w:num w:numId="7">
    <w:abstractNumId w:val="15"/>
  </w:num>
  <w:num w:numId="8">
    <w:abstractNumId w:val="12"/>
  </w:num>
  <w:num w:numId="9">
    <w:abstractNumId w:val="40"/>
  </w:num>
  <w:num w:numId="10">
    <w:abstractNumId w:val="8"/>
  </w:num>
  <w:num w:numId="11">
    <w:abstractNumId w:val="14"/>
  </w:num>
  <w:num w:numId="12">
    <w:abstractNumId w:val="39"/>
  </w:num>
  <w:num w:numId="13">
    <w:abstractNumId w:val="41"/>
  </w:num>
  <w:num w:numId="14">
    <w:abstractNumId w:val="26"/>
  </w:num>
  <w:num w:numId="15">
    <w:abstractNumId w:val="23"/>
  </w:num>
  <w:num w:numId="16">
    <w:abstractNumId w:val="10"/>
  </w:num>
  <w:num w:numId="17">
    <w:abstractNumId w:val="5"/>
  </w:num>
  <w:num w:numId="18">
    <w:abstractNumId w:val="21"/>
  </w:num>
  <w:num w:numId="19">
    <w:abstractNumId w:val="32"/>
  </w:num>
  <w:num w:numId="20">
    <w:abstractNumId w:val="9"/>
  </w:num>
  <w:num w:numId="21">
    <w:abstractNumId w:val="27"/>
  </w:num>
  <w:num w:numId="22">
    <w:abstractNumId w:val="37"/>
  </w:num>
  <w:num w:numId="23">
    <w:abstractNumId w:val="16"/>
  </w:num>
  <w:num w:numId="24">
    <w:abstractNumId w:val="4"/>
  </w:num>
  <w:num w:numId="25">
    <w:abstractNumId w:val="1"/>
  </w:num>
  <w:num w:numId="26">
    <w:abstractNumId w:val="24"/>
  </w:num>
  <w:num w:numId="27">
    <w:abstractNumId w:val="28"/>
  </w:num>
  <w:num w:numId="28">
    <w:abstractNumId w:val="29"/>
  </w:num>
  <w:num w:numId="29">
    <w:abstractNumId w:val="13"/>
  </w:num>
  <w:num w:numId="30">
    <w:abstractNumId w:val="0"/>
  </w:num>
  <w:num w:numId="31">
    <w:abstractNumId w:val="30"/>
  </w:num>
  <w:num w:numId="32">
    <w:abstractNumId w:val="25"/>
  </w:num>
  <w:num w:numId="33">
    <w:abstractNumId w:val="3"/>
  </w:num>
  <w:num w:numId="34">
    <w:abstractNumId w:val="2"/>
  </w:num>
  <w:num w:numId="35">
    <w:abstractNumId w:val="22"/>
  </w:num>
  <w:num w:numId="36">
    <w:abstractNumId w:val="6"/>
  </w:num>
  <w:num w:numId="37">
    <w:abstractNumId w:val="18"/>
  </w:num>
  <w:num w:numId="38">
    <w:abstractNumId w:val="35"/>
  </w:num>
  <w:num w:numId="39">
    <w:abstractNumId w:val="19"/>
  </w:num>
  <w:num w:numId="40">
    <w:abstractNumId w:val="38"/>
  </w:num>
  <w:num w:numId="41">
    <w:abstractNumId w:val="36"/>
  </w:num>
  <w:num w:numId="42">
    <w:abstractNumId w:val="11"/>
  </w:num>
  <w:num w:numId="43">
    <w:abstractNumId w:val="31"/>
  </w:num>
  <w:num w:numId="44">
    <w:abstractNumId w:val="28"/>
  </w:num>
  <w:num w:numId="45">
    <w:abstractNumId w:val="2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1004"/>
  <w:defaultTabStop w:val="720"/>
  <w:characterSpacingControl w:val="doNotCompress"/>
  <w:hdrShapeDefaults>
    <o:shapedefaults v:ext="edit" spidmax="11266"/>
  </w:hdrShapeDefaults>
  <w:footnotePr>
    <w:footnote w:id="-1"/>
    <w:footnote w:id="0"/>
  </w:footnotePr>
  <w:endnotePr>
    <w:endnote w:id="-1"/>
    <w:endnote w:id="0"/>
  </w:endnotePr>
  <w:compat/>
  <w:rsids>
    <w:rsidRoot w:val="00FE770B"/>
    <w:rsid w:val="000017A3"/>
    <w:rsid w:val="00004A73"/>
    <w:rsid w:val="00025378"/>
    <w:rsid w:val="00026AB3"/>
    <w:rsid w:val="0003021E"/>
    <w:rsid w:val="000521B5"/>
    <w:rsid w:val="000537C9"/>
    <w:rsid w:val="00063089"/>
    <w:rsid w:val="000C0C45"/>
    <w:rsid w:val="000D1F88"/>
    <w:rsid w:val="000D5A7E"/>
    <w:rsid w:val="000E0E55"/>
    <w:rsid w:val="00143FB6"/>
    <w:rsid w:val="001626A3"/>
    <w:rsid w:val="00194B37"/>
    <w:rsid w:val="001A1761"/>
    <w:rsid w:val="001A6C0B"/>
    <w:rsid w:val="001D6E04"/>
    <w:rsid w:val="0022799F"/>
    <w:rsid w:val="00230CE8"/>
    <w:rsid w:val="00254E2D"/>
    <w:rsid w:val="0026790F"/>
    <w:rsid w:val="002735A2"/>
    <w:rsid w:val="00273E5C"/>
    <w:rsid w:val="0028092F"/>
    <w:rsid w:val="002828D4"/>
    <w:rsid w:val="00294AFF"/>
    <w:rsid w:val="002E4C80"/>
    <w:rsid w:val="002E5D87"/>
    <w:rsid w:val="002F4DD6"/>
    <w:rsid w:val="00307EFE"/>
    <w:rsid w:val="00310422"/>
    <w:rsid w:val="0031393E"/>
    <w:rsid w:val="0031563D"/>
    <w:rsid w:val="0032116D"/>
    <w:rsid w:val="00325726"/>
    <w:rsid w:val="00395AA1"/>
    <w:rsid w:val="003A0D64"/>
    <w:rsid w:val="003B1A61"/>
    <w:rsid w:val="003B6BAE"/>
    <w:rsid w:val="003C2760"/>
    <w:rsid w:val="003E3B70"/>
    <w:rsid w:val="003E6557"/>
    <w:rsid w:val="004170A0"/>
    <w:rsid w:val="00425380"/>
    <w:rsid w:val="00427541"/>
    <w:rsid w:val="00434FD2"/>
    <w:rsid w:val="00435BB8"/>
    <w:rsid w:val="0046676B"/>
    <w:rsid w:val="004808CB"/>
    <w:rsid w:val="0048683C"/>
    <w:rsid w:val="004D6DA8"/>
    <w:rsid w:val="004E2EE7"/>
    <w:rsid w:val="0050336B"/>
    <w:rsid w:val="005418E1"/>
    <w:rsid w:val="0055055D"/>
    <w:rsid w:val="00565EF6"/>
    <w:rsid w:val="005952A2"/>
    <w:rsid w:val="005A0E07"/>
    <w:rsid w:val="005A20F6"/>
    <w:rsid w:val="005A6A29"/>
    <w:rsid w:val="005E5906"/>
    <w:rsid w:val="005F2070"/>
    <w:rsid w:val="005F5521"/>
    <w:rsid w:val="00601A84"/>
    <w:rsid w:val="00630915"/>
    <w:rsid w:val="006801DA"/>
    <w:rsid w:val="006E3DD9"/>
    <w:rsid w:val="006F2C74"/>
    <w:rsid w:val="00713251"/>
    <w:rsid w:val="00723631"/>
    <w:rsid w:val="0072543F"/>
    <w:rsid w:val="00760805"/>
    <w:rsid w:val="00770F4D"/>
    <w:rsid w:val="007B4F3C"/>
    <w:rsid w:val="00805913"/>
    <w:rsid w:val="00851E8A"/>
    <w:rsid w:val="008566FA"/>
    <w:rsid w:val="0086099E"/>
    <w:rsid w:val="00865599"/>
    <w:rsid w:val="00890C6A"/>
    <w:rsid w:val="00892BE8"/>
    <w:rsid w:val="008A7EDA"/>
    <w:rsid w:val="008B6CAB"/>
    <w:rsid w:val="008C13F4"/>
    <w:rsid w:val="008C7800"/>
    <w:rsid w:val="008E11B5"/>
    <w:rsid w:val="008E3691"/>
    <w:rsid w:val="00902E03"/>
    <w:rsid w:val="00904A8B"/>
    <w:rsid w:val="009126F0"/>
    <w:rsid w:val="00916163"/>
    <w:rsid w:val="00920C81"/>
    <w:rsid w:val="00925300"/>
    <w:rsid w:val="00933EED"/>
    <w:rsid w:val="0093437A"/>
    <w:rsid w:val="00961438"/>
    <w:rsid w:val="009622FC"/>
    <w:rsid w:val="00965437"/>
    <w:rsid w:val="009B6728"/>
    <w:rsid w:val="00A67C24"/>
    <w:rsid w:val="00A904E4"/>
    <w:rsid w:val="00AA0511"/>
    <w:rsid w:val="00AB455A"/>
    <w:rsid w:val="00B0151A"/>
    <w:rsid w:val="00B42460"/>
    <w:rsid w:val="00B73997"/>
    <w:rsid w:val="00B76BD6"/>
    <w:rsid w:val="00B84EDC"/>
    <w:rsid w:val="00B925ED"/>
    <w:rsid w:val="00BA38FA"/>
    <w:rsid w:val="00BA7A6F"/>
    <w:rsid w:val="00BB2578"/>
    <w:rsid w:val="00BF269F"/>
    <w:rsid w:val="00C06C4E"/>
    <w:rsid w:val="00CB1F88"/>
    <w:rsid w:val="00CE3F09"/>
    <w:rsid w:val="00D018C6"/>
    <w:rsid w:val="00D23963"/>
    <w:rsid w:val="00D628DE"/>
    <w:rsid w:val="00D914A8"/>
    <w:rsid w:val="00D94F38"/>
    <w:rsid w:val="00DD35DD"/>
    <w:rsid w:val="00DD42A2"/>
    <w:rsid w:val="00DD7D1E"/>
    <w:rsid w:val="00DE2965"/>
    <w:rsid w:val="00DE2B57"/>
    <w:rsid w:val="00DF4806"/>
    <w:rsid w:val="00E024BA"/>
    <w:rsid w:val="00E212AB"/>
    <w:rsid w:val="00E374B4"/>
    <w:rsid w:val="00E43F6C"/>
    <w:rsid w:val="00E61ED2"/>
    <w:rsid w:val="00E67585"/>
    <w:rsid w:val="00EB2089"/>
    <w:rsid w:val="00EE1926"/>
    <w:rsid w:val="00EE20F0"/>
    <w:rsid w:val="00EE6790"/>
    <w:rsid w:val="00F12B79"/>
    <w:rsid w:val="00F272D8"/>
    <w:rsid w:val="00F3656B"/>
    <w:rsid w:val="00F4792F"/>
    <w:rsid w:val="00F5660C"/>
    <w:rsid w:val="00F739BB"/>
    <w:rsid w:val="00F85C67"/>
    <w:rsid w:val="00FA732D"/>
    <w:rsid w:val="00FB0830"/>
    <w:rsid w:val="00FB28B4"/>
    <w:rsid w:val="00FB34D9"/>
    <w:rsid w:val="00FC4AA8"/>
    <w:rsid w:val="00FE770B"/>
    <w:rsid w:val="00FF18F1"/>
    <w:rsid w:val="00FF7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semiHidden="0" w:uiPriority="47" w:unhideWhenUsed="0"/>
    <w:lsdException w:name="TOC Heading" w:semiHidden="0" w:uiPriority="48" w:unhideWhenUsed="0" w:qFormat="1"/>
  </w:latentStyles>
  <w:style w:type="paragraph" w:default="1" w:styleId="Normal">
    <w:name w:val="Normal"/>
    <w:qFormat/>
    <w:rsid w:val="006A7DA4"/>
    <w:pPr>
      <w:spacing w:after="200" w:line="276" w:lineRule="auto"/>
    </w:pPr>
    <w:rPr>
      <w:sz w:val="22"/>
      <w:szCs w:val="22"/>
      <w:lang w:val="id-ID" w:eastAsia="pt-PT" w:bidi="pt-PT"/>
    </w:rPr>
  </w:style>
  <w:style w:type="paragraph" w:styleId="Heading1">
    <w:name w:val="heading 1"/>
    <w:basedOn w:val="Normal"/>
    <w:next w:val="Normal"/>
    <w:link w:val="Heading1Char"/>
    <w:uiPriority w:val="9"/>
    <w:qFormat/>
    <w:rsid w:val="006A7DA4"/>
    <w:pPr>
      <w:keepNext/>
      <w:keepLines/>
      <w:pageBreakBefore/>
      <w:spacing w:before="720" w:after="720" w:line="240" w:lineRule="auto"/>
      <w:outlineLvl w:val="0"/>
    </w:pPr>
    <w:rPr>
      <w:rFonts w:ascii="Calibri Light" w:eastAsia="Times New Roman" w:hAnsi="Calibri Light"/>
      <w:b/>
      <w:bCs/>
      <w:color w:val="44546A"/>
      <w:sz w:val="28"/>
      <w:szCs w:val="32"/>
      <w:lang w:bidi="ar-SA"/>
    </w:rPr>
  </w:style>
  <w:style w:type="paragraph" w:styleId="Heading2">
    <w:name w:val="heading 2"/>
    <w:basedOn w:val="Normal"/>
    <w:next w:val="Normal"/>
    <w:link w:val="Heading2Char"/>
    <w:uiPriority w:val="9"/>
    <w:unhideWhenUsed/>
    <w:qFormat/>
    <w:rsid w:val="006A7DA4"/>
    <w:pPr>
      <w:keepNext/>
      <w:keepLines/>
      <w:spacing w:before="200" w:after="0"/>
      <w:outlineLvl w:val="1"/>
    </w:pPr>
    <w:rPr>
      <w:rFonts w:ascii="Calibri Light" w:eastAsia="Times New Roman" w:hAnsi="Calibri Light"/>
      <w:b/>
      <w:bCs/>
      <w:color w:val="5B9BD5"/>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86E13"/>
    <w:pPr>
      <w:spacing w:after="0" w:line="240" w:lineRule="auto"/>
    </w:pPr>
    <w:rPr>
      <w:rFonts w:ascii="Tahoma" w:hAnsi="Tahoma"/>
      <w:sz w:val="16"/>
      <w:szCs w:val="16"/>
      <w:lang w:bidi="ar-SA"/>
    </w:rPr>
  </w:style>
  <w:style w:type="character" w:customStyle="1" w:styleId="BalloonTextChar">
    <w:name w:val="Balloon Text Char"/>
    <w:basedOn w:val="DefaultParagraphFont"/>
    <w:uiPriority w:val="99"/>
    <w:semiHidden/>
    <w:rsid w:val="007427BB"/>
    <w:rPr>
      <w:rFonts w:ascii="Lucida Grande" w:hAnsi="Lucida Grande" w:cs="Lucida Grande"/>
      <w:sz w:val="18"/>
      <w:szCs w:val="18"/>
    </w:rPr>
  </w:style>
  <w:style w:type="character" w:customStyle="1" w:styleId="BalloonTextChar0">
    <w:name w:val="Balloon Text Char"/>
    <w:basedOn w:val="DefaultParagraphFont"/>
    <w:uiPriority w:val="99"/>
    <w:semiHidden/>
    <w:rsid w:val="007427BB"/>
    <w:rPr>
      <w:rFonts w:ascii="Lucida Grande" w:hAnsi="Lucida Grande" w:cs="Lucida Grande"/>
      <w:sz w:val="18"/>
      <w:szCs w:val="18"/>
    </w:rPr>
  </w:style>
  <w:style w:type="character" w:customStyle="1" w:styleId="BalloonTextChar2">
    <w:name w:val="Balloon Text Char"/>
    <w:basedOn w:val="DefaultParagraphFont"/>
    <w:uiPriority w:val="99"/>
    <w:semiHidden/>
    <w:rsid w:val="001564D1"/>
    <w:rPr>
      <w:rFonts w:ascii="Lucida Grande" w:hAnsi="Lucida Grande"/>
      <w:sz w:val="18"/>
      <w:szCs w:val="18"/>
    </w:rPr>
  </w:style>
  <w:style w:type="character" w:customStyle="1" w:styleId="Heading1Char">
    <w:name w:val="Heading 1 Char"/>
    <w:link w:val="Heading1"/>
    <w:uiPriority w:val="9"/>
    <w:rsid w:val="006A7DA4"/>
    <w:rPr>
      <w:rFonts w:ascii="Calibri Light" w:eastAsia="Times New Roman" w:hAnsi="Calibri Light" w:cs="Times New Roman"/>
      <w:b/>
      <w:bCs/>
      <w:color w:val="44546A"/>
      <w:sz w:val="28"/>
      <w:szCs w:val="32"/>
    </w:rPr>
  </w:style>
  <w:style w:type="character" w:customStyle="1" w:styleId="Heading2Char">
    <w:name w:val="Heading 2 Char"/>
    <w:link w:val="Heading2"/>
    <w:uiPriority w:val="9"/>
    <w:rsid w:val="006A7DA4"/>
    <w:rPr>
      <w:rFonts w:ascii="Calibri Light" w:eastAsia="Times New Roman" w:hAnsi="Calibri Light" w:cs="Times New Roman"/>
      <w:b/>
      <w:bCs/>
      <w:color w:val="5B9BD5"/>
      <w:sz w:val="26"/>
      <w:szCs w:val="26"/>
      <w:lang w:val="id-ID"/>
    </w:rPr>
  </w:style>
  <w:style w:type="paragraph" w:styleId="NoSpacing">
    <w:name w:val="No Spacing"/>
    <w:uiPriority w:val="1"/>
    <w:qFormat/>
    <w:rsid w:val="006A7DA4"/>
    <w:rPr>
      <w:sz w:val="22"/>
      <w:szCs w:val="22"/>
      <w:lang w:val="id-ID" w:eastAsia="pt-PT" w:bidi="pt-PT"/>
    </w:rPr>
  </w:style>
  <w:style w:type="paragraph" w:styleId="FootnoteText">
    <w:name w:val="footnote text"/>
    <w:basedOn w:val="Normal"/>
    <w:link w:val="FootnoteTextChar"/>
    <w:uiPriority w:val="99"/>
    <w:semiHidden/>
    <w:unhideWhenUsed/>
    <w:rsid w:val="006A7DA4"/>
    <w:pPr>
      <w:spacing w:after="0" w:line="240" w:lineRule="auto"/>
    </w:pPr>
    <w:rPr>
      <w:sz w:val="20"/>
      <w:szCs w:val="20"/>
      <w:lang w:bidi="ar-SA"/>
    </w:rPr>
  </w:style>
  <w:style w:type="character" w:customStyle="1" w:styleId="FootnoteTextChar">
    <w:name w:val="Footnote Text Char"/>
    <w:link w:val="FootnoteText"/>
    <w:uiPriority w:val="99"/>
    <w:semiHidden/>
    <w:rsid w:val="006A7DA4"/>
    <w:rPr>
      <w:sz w:val="20"/>
      <w:szCs w:val="20"/>
      <w:lang w:val="id-ID"/>
    </w:rPr>
  </w:style>
  <w:style w:type="character" w:styleId="FootnoteReference">
    <w:name w:val="footnote reference"/>
    <w:uiPriority w:val="99"/>
    <w:semiHidden/>
    <w:unhideWhenUsed/>
    <w:rsid w:val="006A7DA4"/>
    <w:rPr>
      <w:vertAlign w:val="superscript"/>
    </w:rPr>
  </w:style>
  <w:style w:type="paragraph" w:customStyle="1" w:styleId="FigureTitle">
    <w:name w:val="Figure Title"/>
    <w:basedOn w:val="Normal"/>
    <w:qFormat/>
    <w:rsid w:val="006A7DA4"/>
    <w:pPr>
      <w:keepNext/>
      <w:spacing w:before="240" w:after="60" w:line="240" w:lineRule="auto"/>
      <w:jc w:val="center"/>
    </w:pPr>
    <w:rPr>
      <w:b/>
      <w:sz w:val="18"/>
    </w:rPr>
  </w:style>
  <w:style w:type="paragraph" w:styleId="ListParagraph">
    <w:name w:val="List Paragraph"/>
    <w:basedOn w:val="Normal"/>
    <w:uiPriority w:val="34"/>
    <w:qFormat/>
    <w:rsid w:val="00703BAA"/>
    <w:pPr>
      <w:ind w:left="720"/>
      <w:contextualSpacing/>
    </w:pPr>
  </w:style>
  <w:style w:type="table" w:styleId="LightList-Accent2">
    <w:name w:val="Light List Accent 2"/>
    <w:basedOn w:val="TableNormal"/>
    <w:uiPriority w:val="61"/>
    <w:unhideWhenUsed/>
    <w:rsid w:val="008B02F6"/>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ED7D31"/>
      </w:tcPr>
    </w:tblStylePr>
    <w:tblStylePr w:type="lastRow">
      <w:pPr>
        <w:spacing w:beforeLines="0" w:beforeAutospacing="0" w:afterLines="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usercontent">
    <w:name w:val="usercontent"/>
    <w:basedOn w:val="DefaultParagraphFont"/>
    <w:rsid w:val="000A7913"/>
  </w:style>
  <w:style w:type="paragraph" w:styleId="Header">
    <w:name w:val="header"/>
    <w:basedOn w:val="Normal"/>
    <w:link w:val="HeaderChar"/>
    <w:uiPriority w:val="99"/>
    <w:unhideWhenUsed/>
    <w:rsid w:val="002F5EC6"/>
    <w:pPr>
      <w:tabs>
        <w:tab w:val="center" w:pos="4680"/>
        <w:tab w:val="right" w:pos="9360"/>
      </w:tabs>
      <w:spacing w:after="0" w:line="240" w:lineRule="auto"/>
    </w:pPr>
    <w:rPr>
      <w:lang w:bidi="ar-SA"/>
    </w:rPr>
  </w:style>
  <w:style w:type="character" w:customStyle="1" w:styleId="HeaderChar">
    <w:name w:val="Header Char"/>
    <w:link w:val="Header"/>
    <w:uiPriority w:val="99"/>
    <w:rsid w:val="002F5EC6"/>
    <w:rPr>
      <w:sz w:val="22"/>
      <w:szCs w:val="22"/>
      <w:lang w:val="id-ID"/>
    </w:rPr>
  </w:style>
  <w:style w:type="paragraph" w:styleId="Footer">
    <w:name w:val="footer"/>
    <w:basedOn w:val="Normal"/>
    <w:link w:val="FooterChar"/>
    <w:uiPriority w:val="99"/>
    <w:unhideWhenUsed/>
    <w:rsid w:val="002F5EC6"/>
    <w:pPr>
      <w:tabs>
        <w:tab w:val="center" w:pos="4680"/>
        <w:tab w:val="right" w:pos="9360"/>
      </w:tabs>
      <w:spacing w:after="0" w:line="240" w:lineRule="auto"/>
    </w:pPr>
    <w:rPr>
      <w:lang w:bidi="ar-SA"/>
    </w:rPr>
  </w:style>
  <w:style w:type="character" w:customStyle="1" w:styleId="FooterChar">
    <w:name w:val="Footer Char"/>
    <w:link w:val="Footer"/>
    <w:uiPriority w:val="99"/>
    <w:rsid w:val="002F5EC6"/>
    <w:rPr>
      <w:sz w:val="22"/>
      <w:szCs w:val="22"/>
      <w:lang w:val="id-ID"/>
    </w:rPr>
  </w:style>
  <w:style w:type="character" w:customStyle="1" w:styleId="BalloonTextChar1">
    <w:name w:val="Balloon Text Char1"/>
    <w:link w:val="BalloonText"/>
    <w:uiPriority w:val="99"/>
    <w:semiHidden/>
    <w:rsid w:val="00886E13"/>
    <w:rPr>
      <w:rFonts w:ascii="Tahoma" w:hAnsi="Tahoma" w:cs="Tahoma"/>
      <w:sz w:val="16"/>
      <w:szCs w:val="16"/>
      <w:lang w:val="id-ID"/>
    </w:rPr>
  </w:style>
  <w:style w:type="table" w:styleId="MediumGrid1-Accent3">
    <w:name w:val="Medium Grid 1 Accent 3"/>
    <w:basedOn w:val="TableNormal"/>
    <w:uiPriority w:val="67"/>
    <w:rsid w:val="005C251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sourcenote">
    <w:name w:val="source note"/>
    <w:basedOn w:val="Normal"/>
    <w:rsid w:val="00F5611F"/>
    <w:pPr>
      <w:spacing w:before="60" w:after="0" w:line="240" w:lineRule="auto"/>
    </w:pPr>
    <w:rPr>
      <w:bCs/>
      <w:iCs/>
      <w:sz w:val="14"/>
      <w:szCs w:val="14"/>
    </w:rPr>
  </w:style>
  <w:style w:type="paragraph" w:styleId="BodyText">
    <w:name w:val="Body Text"/>
    <w:basedOn w:val="Normal"/>
    <w:link w:val="BodyTextChar"/>
    <w:uiPriority w:val="99"/>
    <w:unhideWhenUsed/>
    <w:rsid w:val="00F5611F"/>
    <w:pPr>
      <w:spacing w:before="240" w:after="0" w:line="240" w:lineRule="auto"/>
    </w:pPr>
    <w:rPr>
      <w:rFonts w:ascii="Cambria" w:hAnsi="Cambria"/>
      <w:sz w:val="21"/>
      <w:lang w:bidi="ar-SA"/>
    </w:rPr>
  </w:style>
  <w:style w:type="character" w:customStyle="1" w:styleId="BodyTextChar">
    <w:name w:val="Body Text Char"/>
    <w:link w:val="BodyText"/>
    <w:uiPriority w:val="99"/>
    <w:rsid w:val="00F5611F"/>
    <w:rPr>
      <w:rFonts w:ascii="Cambria" w:eastAsia="Calibri" w:hAnsi="Cambria" w:cs="Times New Roman"/>
      <w:sz w:val="21"/>
      <w:szCs w:val="22"/>
    </w:rPr>
  </w:style>
  <w:style w:type="paragraph" w:customStyle="1" w:styleId="TableHeading">
    <w:name w:val="Table Heading"/>
    <w:basedOn w:val="Normal"/>
    <w:qFormat/>
    <w:rsid w:val="00F5611F"/>
    <w:pPr>
      <w:keepNext/>
      <w:spacing w:before="60" w:after="60" w:line="240" w:lineRule="auto"/>
      <w:jc w:val="center"/>
    </w:pPr>
    <w:rPr>
      <w:b/>
      <w:bCs/>
      <w:sz w:val="16"/>
      <w:szCs w:val="20"/>
    </w:rPr>
  </w:style>
  <w:style w:type="paragraph" w:customStyle="1" w:styleId="TableContent">
    <w:name w:val="Table Content"/>
    <w:basedOn w:val="Normal"/>
    <w:qFormat/>
    <w:rsid w:val="00F5611F"/>
    <w:pPr>
      <w:spacing w:before="20" w:after="20" w:line="240" w:lineRule="auto"/>
    </w:pPr>
    <w:rPr>
      <w:sz w:val="16"/>
      <w:szCs w:val="18"/>
    </w:rPr>
  </w:style>
  <w:style w:type="table" w:styleId="TableGrid">
    <w:name w:val="Table Grid"/>
    <w:basedOn w:val="TableNormal"/>
    <w:uiPriority w:val="59"/>
    <w:rsid w:val="00F5611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itle">
    <w:name w:val="Table Title"/>
    <w:basedOn w:val="BodyText"/>
    <w:qFormat/>
    <w:rsid w:val="00F5611F"/>
    <w:pPr>
      <w:keepNext/>
      <w:spacing w:after="60"/>
      <w:jc w:val="center"/>
    </w:pPr>
    <w:rPr>
      <w:rFonts w:ascii="Calibri" w:hAnsi="Calibri"/>
      <w:b/>
      <w:sz w:val="18"/>
    </w:rPr>
  </w:style>
  <w:style w:type="table" w:styleId="MediumGrid3-Accent2">
    <w:name w:val="Medium Grid 3 Accent 2"/>
    <w:basedOn w:val="TableNormal"/>
    <w:uiPriority w:val="69"/>
    <w:rsid w:val="00F5611F"/>
    <w:rPr>
      <w:sz w:val="22"/>
      <w:szCs w:val="22"/>
      <w:lang w:val="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5">
    <w:name w:val="Medium Grid 3 Accent 5"/>
    <w:basedOn w:val="TableNormal"/>
    <w:uiPriority w:val="69"/>
    <w:rsid w:val="00F5611F"/>
    <w:rPr>
      <w:sz w:val="22"/>
      <w:szCs w:val="22"/>
      <w:lang w:val="id-ID"/>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CommentReference">
    <w:name w:val="annotation reference"/>
    <w:uiPriority w:val="99"/>
    <w:semiHidden/>
    <w:unhideWhenUsed/>
    <w:rsid w:val="00F5611F"/>
    <w:rPr>
      <w:sz w:val="16"/>
      <w:szCs w:val="16"/>
    </w:rPr>
  </w:style>
  <w:style w:type="paragraph" w:styleId="CommentText">
    <w:name w:val="annotation text"/>
    <w:basedOn w:val="Normal"/>
    <w:link w:val="CommentTextChar"/>
    <w:uiPriority w:val="99"/>
    <w:unhideWhenUsed/>
    <w:rsid w:val="00F5611F"/>
    <w:pPr>
      <w:spacing w:line="240" w:lineRule="auto"/>
    </w:pPr>
    <w:rPr>
      <w:sz w:val="20"/>
      <w:szCs w:val="20"/>
      <w:lang w:bidi="ar-SA"/>
    </w:rPr>
  </w:style>
  <w:style w:type="character" w:customStyle="1" w:styleId="CommentTextChar">
    <w:name w:val="Comment Text Char"/>
    <w:link w:val="CommentText"/>
    <w:uiPriority w:val="99"/>
    <w:rsid w:val="00F5611F"/>
    <w:rPr>
      <w:rFonts w:ascii="Calibri" w:eastAsia="Calibri" w:hAnsi="Calibri" w:cs="Times New Roman"/>
      <w:lang w:val="id-ID"/>
    </w:rPr>
  </w:style>
  <w:style w:type="paragraph" w:styleId="CommentSubject">
    <w:name w:val="annotation subject"/>
    <w:basedOn w:val="CommentText"/>
    <w:next w:val="CommentText"/>
    <w:link w:val="CommentSubjectChar"/>
    <w:uiPriority w:val="99"/>
    <w:semiHidden/>
    <w:unhideWhenUsed/>
    <w:rsid w:val="00F5611F"/>
    <w:rPr>
      <w:b/>
      <w:bCs/>
    </w:rPr>
  </w:style>
  <w:style w:type="character" w:customStyle="1" w:styleId="CommentSubjectChar">
    <w:name w:val="Comment Subject Char"/>
    <w:link w:val="CommentSubject"/>
    <w:uiPriority w:val="99"/>
    <w:semiHidden/>
    <w:rsid w:val="00F5611F"/>
    <w:rPr>
      <w:rFonts w:ascii="Calibri" w:eastAsia="Calibri" w:hAnsi="Calibri" w:cs="Times New Roman"/>
      <w:b/>
      <w:bCs/>
      <w:lang w:val="id-ID"/>
    </w:rPr>
  </w:style>
  <w:style w:type="table" w:styleId="MediumShading2-Accent3">
    <w:name w:val="Medium Shading 2 Accent 3"/>
    <w:basedOn w:val="TableNormal"/>
    <w:uiPriority w:val="64"/>
    <w:rsid w:val="00F5611F"/>
    <w:rPr>
      <w:sz w:val="22"/>
      <w:szCs w:val="22"/>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nhideWhenUsed/>
    <w:rsid w:val="00F5611F"/>
    <w:rPr>
      <w:color w:val="0000FF"/>
      <w:u w:val="single"/>
    </w:rPr>
  </w:style>
  <w:style w:type="table" w:styleId="LightShading-Accent3">
    <w:name w:val="Light Shading Accent 3"/>
    <w:basedOn w:val="TableNormal"/>
    <w:uiPriority w:val="60"/>
    <w:rsid w:val="00F5611F"/>
    <w:rPr>
      <w:color w:val="76923C"/>
      <w:sz w:val="22"/>
      <w:szCs w:val="22"/>
      <w:lang w:val="id-ID"/>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ridTable1Light-Accent61">
    <w:name w:val="Grid Table 1 Light - Accent 61"/>
    <w:basedOn w:val="TableNormal"/>
    <w:uiPriority w:val="46"/>
    <w:rsid w:val="00A83D2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1D679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1Light-Accent41">
    <w:name w:val="Grid Table 1 Light - Accent 41"/>
    <w:basedOn w:val="TableNormal"/>
    <w:uiPriority w:val="46"/>
    <w:rsid w:val="00AD540D"/>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D540D"/>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AD540D"/>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5Dark-Accent31">
    <w:name w:val="Grid Table 5 Dark - Accent 31"/>
    <w:basedOn w:val="TableNormal"/>
    <w:uiPriority w:val="50"/>
    <w:rsid w:val="00AD540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510">
    <w:name w:val="Grid Table 5 Dark - Accent 51"/>
    <w:basedOn w:val="TableNormal"/>
    <w:uiPriority w:val="50"/>
    <w:rsid w:val="008D38B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1Light-Accent610">
    <w:name w:val="Grid Table 1 Light - Accent 61"/>
    <w:basedOn w:val="TableNormal"/>
    <w:uiPriority w:val="46"/>
    <w:rsid w:val="008D38B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Accent410">
    <w:name w:val="Grid Table 1 Light - Accent 41"/>
    <w:basedOn w:val="TableNormal"/>
    <w:uiPriority w:val="46"/>
    <w:rsid w:val="008D38B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0">
    <w:name w:val="Grid Table 1 Light - Accent 51"/>
    <w:basedOn w:val="TableNormal"/>
    <w:uiPriority w:val="46"/>
    <w:rsid w:val="008D38B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310">
    <w:name w:val="Grid Table 2 - Accent 31"/>
    <w:basedOn w:val="TableNormal"/>
    <w:uiPriority w:val="47"/>
    <w:rsid w:val="008D38B1"/>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5Dark-Accent310">
    <w:name w:val="Grid Table 5 Dark - Accent 31"/>
    <w:basedOn w:val="TableNormal"/>
    <w:uiPriority w:val="50"/>
    <w:rsid w:val="008D38B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LightShading-Accent4">
    <w:name w:val="Light Shading Accent 4"/>
    <w:basedOn w:val="TableNormal"/>
    <w:uiPriority w:val="60"/>
    <w:rsid w:val="008D38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GridTable4-Accent61">
    <w:name w:val="Grid Table 4 - Accent 61"/>
    <w:basedOn w:val="TableNormal"/>
    <w:uiPriority w:val="49"/>
    <w:rsid w:val="00A25C2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5Dark-Accent61">
    <w:name w:val="Grid Table 5 Dark - Accent 61"/>
    <w:basedOn w:val="TableNormal"/>
    <w:uiPriority w:val="50"/>
    <w:rsid w:val="003E2DF8"/>
    <w:rPr>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character" w:styleId="Strong">
    <w:name w:val="Strong"/>
    <w:uiPriority w:val="22"/>
    <w:qFormat/>
    <w:rsid w:val="00F17911"/>
    <w:rPr>
      <w:b/>
      <w:bCs/>
    </w:rPr>
  </w:style>
  <w:style w:type="character" w:styleId="Emphasis">
    <w:name w:val="Emphasis"/>
    <w:uiPriority w:val="20"/>
    <w:qFormat/>
    <w:rsid w:val="00F17911"/>
    <w:rPr>
      <w:i/>
      <w:iCs/>
    </w:rPr>
  </w:style>
  <w:style w:type="character" w:customStyle="1" w:styleId="apple-converted-space">
    <w:name w:val="apple-converted-space"/>
    <w:basedOn w:val="DefaultParagraphFont"/>
    <w:rsid w:val="00F17911"/>
  </w:style>
  <w:style w:type="character" w:customStyle="1" w:styleId="CharacterStyle1">
    <w:name w:val="Character Style 1"/>
    <w:uiPriority w:val="99"/>
    <w:rsid w:val="00F17911"/>
    <w:rPr>
      <w:sz w:val="20"/>
    </w:rPr>
  </w:style>
  <w:style w:type="paragraph" w:styleId="Title">
    <w:name w:val="Title"/>
    <w:basedOn w:val="Normal"/>
    <w:next w:val="Normal"/>
    <w:link w:val="TitleChar"/>
    <w:uiPriority w:val="10"/>
    <w:qFormat/>
    <w:rsid w:val="00BE0BDC"/>
    <w:pPr>
      <w:spacing w:after="0" w:line="240" w:lineRule="auto"/>
      <w:contextualSpacing/>
    </w:pPr>
    <w:rPr>
      <w:rFonts w:ascii="Cambria" w:eastAsia="Times New Roman" w:hAnsi="Cambria"/>
      <w:spacing w:val="-10"/>
      <w:kern w:val="28"/>
      <w:sz w:val="56"/>
      <w:szCs w:val="56"/>
      <w:lang w:bidi="ar-SA"/>
    </w:rPr>
  </w:style>
  <w:style w:type="character" w:customStyle="1" w:styleId="TitleChar">
    <w:name w:val="Title Char"/>
    <w:link w:val="Title"/>
    <w:uiPriority w:val="10"/>
    <w:rsid w:val="00BE0BDC"/>
    <w:rPr>
      <w:rFonts w:ascii="Cambria" w:eastAsia="Times New Roman" w:hAnsi="Cambria" w:cs="Times New Roman"/>
      <w:spacing w:val="-10"/>
      <w:kern w:val="28"/>
      <w:sz w:val="56"/>
      <w:szCs w:val="56"/>
      <w:lang w:val="id-ID"/>
    </w:rPr>
  </w:style>
  <w:style w:type="table" w:customStyle="1" w:styleId="GridTable4-Accent21">
    <w:name w:val="Grid Table 4 - Accent 21"/>
    <w:basedOn w:val="TableNormal"/>
    <w:uiPriority w:val="49"/>
    <w:rsid w:val="00AF53EF"/>
    <w:rPr>
      <w:sz w:val="22"/>
      <w:szCs w:val="22"/>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NormalWeb">
    <w:name w:val="Normal (Web)"/>
    <w:basedOn w:val="Normal"/>
    <w:uiPriority w:val="99"/>
    <w:unhideWhenUsed/>
    <w:rsid w:val="00853AB0"/>
    <w:pPr>
      <w:spacing w:before="100" w:beforeAutospacing="1" w:after="100" w:afterAutospacing="1" w:line="240" w:lineRule="auto"/>
    </w:pPr>
    <w:rPr>
      <w:rFonts w:ascii="Times New Roman" w:eastAsia="Times New Roman" w:hAnsi="Times New Roman"/>
      <w:sz w:val="24"/>
      <w:szCs w:val="24"/>
      <w:lang w:val="en-US"/>
    </w:rPr>
  </w:style>
  <w:style w:type="table" w:styleId="ColorfulGrid-Accent4">
    <w:name w:val="Colorful Grid Accent 4"/>
    <w:basedOn w:val="TableNormal"/>
    <w:uiPriority w:val="73"/>
    <w:semiHidden/>
    <w:unhideWhenUsed/>
    <w:rsid w:val="006C7718"/>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dTable4-Accent210">
    <w:name w:val="Grid Table 4 - Accent 21"/>
    <w:basedOn w:val="TableNormal"/>
    <w:uiPriority w:val="49"/>
    <w:rsid w:val="006C7718"/>
    <w:rPr>
      <w:sz w:val="22"/>
      <w:szCs w:val="22"/>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styleId="PageNumber">
    <w:name w:val="page number"/>
    <w:basedOn w:val="DefaultParagraphFont"/>
    <w:uiPriority w:val="99"/>
    <w:semiHidden/>
    <w:unhideWhenUsed/>
    <w:rsid w:val="009F6344"/>
  </w:style>
</w:styles>
</file>

<file path=word/webSettings.xml><?xml version="1.0" encoding="utf-8"?>
<w:webSettings xmlns:r="http://schemas.openxmlformats.org/officeDocument/2006/relationships" xmlns:w="http://schemas.openxmlformats.org/wordprocessingml/2006/main">
  <w:divs>
    <w:div w:id="234122385">
      <w:bodyDiv w:val="1"/>
      <w:marLeft w:val="0"/>
      <w:marRight w:val="0"/>
      <w:marTop w:val="0"/>
      <w:marBottom w:val="0"/>
      <w:divBdr>
        <w:top w:val="none" w:sz="0" w:space="0" w:color="auto"/>
        <w:left w:val="none" w:sz="0" w:space="0" w:color="auto"/>
        <w:bottom w:val="none" w:sz="0" w:space="0" w:color="auto"/>
        <w:right w:val="none" w:sz="0" w:space="0" w:color="auto"/>
      </w:divBdr>
    </w:div>
    <w:div w:id="292449772">
      <w:bodyDiv w:val="1"/>
      <w:marLeft w:val="0"/>
      <w:marRight w:val="0"/>
      <w:marTop w:val="0"/>
      <w:marBottom w:val="0"/>
      <w:divBdr>
        <w:top w:val="none" w:sz="0" w:space="0" w:color="auto"/>
        <w:left w:val="none" w:sz="0" w:space="0" w:color="auto"/>
        <w:bottom w:val="none" w:sz="0" w:space="0" w:color="auto"/>
        <w:right w:val="none" w:sz="0" w:space="0" w:color="auto"/>
      </w:divBdr>
    </w:div>
    <w:div w:id="399792649">
      <w:bodyDiv w:val="1"/>
      <w:marLeft w:val="0"/>
      <w:marRight w:val="0"/>
      <w:marTop w:val="0"/>
      <w:marBottom w:val="0"/>
      <w:divBdr>
        <w:top w:val="none" w:sz="0" w:space="0" w:color="auto"/>
        <w:left w:val="none" w:sz="0" w:space="0" w:color="auto"/>
        <w:bottom w:val="none" w:sz="0" w:space="0" w:color="auto"/>
        <w:right w:val="none" w:sz="0" w:space="0" w:color="auto"/>
      </w:divBdr>
    </w:div>
    <w:div w:id="456070131">
      <w:bodyDiv w:val="1"/>
      <w:marLeft w:val="0"/>
      <w:marRight w:val="0"/>
      <w:marTop w:val="0"/>
      <w:marBottom w:val="0"/>
      <w:divBdr>
        <w:top w:val="none" w:sz="0" w:space="0" w:color="auto"/>
        <w:left w:val="none" w:sz="0" w:space="0" w:color="auto"/>
        <w:bottom w:val="none" w:sz="0" w:space="0" w:color="auto"/>
        <w:right w:val="none" w:sz="0" w:space="0" w:color="auto"/>
      </w:divBdr>
    </w:div>
    <w:div w:id="596135487">
      <w:bodyDiv w:val="1"/>
      <w:marLeft w:val="0"/>
      <w:marRight w:val="0"/>
      <w:marTop w:val="0"/>
      <w:marBottom w:val="0"/>
      <w:divBdr>
        <w:top w:val="none" w:sz="0" w:space="0" w:color="auto"/>
        <w:left w:val="none" w:sz="0" w:space="0" w:color="auto"/>
        <w:bottom w:val="none" w:sz="0" w:space="0" w:color="auto"/>
        <w:right w:val="none" w:sz="0" w:space="0" w:color="auto"/>
      </w:divBdr>
    </w:div>
    <w:div w:id="697968689">
      <w:bodyDiv w:val="1"/>
      <w:marLeft w:val="0"/>
      <w:marRight w:val="0"/>
      <w:marTop w:val="0"/>
      <w:marBottom w:val="0"/>
      <w:divBdr>
        <w:top w:val="none" w:sz="0" w:space="0" w:color="auto"/>
        <w:left w:val="none" w:sz="0" w:space="0" w:color="auto"/>
        <w:bottom w:val="none" w:sz="0" w:space="0" w:color="auto"/>
        <w:right w:val="none" w:sz="0" w:space="0" w:color="auto"/>
      </w:divBdr>
    </w:div>
    <w:div w:id="719405323">
      <w:bodyDiv w:val="1"/>
      <w:marLeft w:val="0"/>
      <w:marRight w:val="0"/>
      <w:marTop w:val="0"/>
      <w:marBottom w:val="0"/>
      <w:divBdr>
        <w:top w:val="none" w:sz="0" w:space="0" w:color="auto"/>
        <w:left w:val="none" w:sz="0" w:space="0" w:color="auto"/>
        <w:bottom w:val="none" w:sz="0" w:space="0" w:color="auto"/>
        <w:right w:val="none" w:sz="0" w:space="0" w:color="auto"/>
      </w:divBdr>
    </w:div>
    <w:div w:id="1172837314">
      <w:bodyDiv w:val="1"/>
      <w:marLeft w:val="0"/>
      <w:marRight w:val="0"/>
      <w:marTop w:val="0"/>
      <w:marBottom w:val="0"/>
      <w:divBdr>
        <w:top w:val="none" w:sz="0" w:space="0" w:color="auto"/>
        <w:left w:val="none" w:sz="0" w:space="0" w:color="auto"/>
        <w:bottom w:val="none" w:sz="0" w:space="0" w:color="auto"/>
        <w:right w:val="none" w:sz="0" w:space="0" w:color="auto"/>
      </w:divBdr>
    </w:div>
    <w:div w:id="1257518944">
      <w:bodyDiv w:val="1"/>
      <w:marLeft w:val="0"/>
      <w:marRight w:val="0"/>
      <w:marTop w:val="0"/>
      <w:marBottom w:val="0"/>
      <w:divBdr>
        <w:top w:val="none" w:sz="0" w:space="0" w:color="auto"/>
        <w:left w:val="none" w:sz="0" w:space="0" w:color="auto"/>
        <w:bottom w:val="none" w:sz="0" w:space="0" w:color="auto"/>
        <w:right w:val="none" w:sz="0" w:space="0" w:color="auto"/>
      </w:divBdr>
    </w:div>
    <w:div w:id="1485194702">
      <w:bodyDiv w:val="1"/>
      <w:marLeft w:val="0"/>
      <w:marRight w:val="0"/>
      <w:marTop w:val="0"/>
      <w:marBottom w:val="0"/>
      <w:divBdr>
        <w:top w:val="none" w:sz="0" w:space="0" w:color="auto"/>
        <w:left w:val="none" w:sz="0" w:space="0" w:color="auto"/>
        <w:bottom w:val="none" w:sz="0" w:space="0" w:color="auto"/>
        <w:right w:val="none" w:sz="0" w:space="0" w:color="auto"/>
      </w:divBdr>
    </w:div>
    <w:div w:id="1668828221">
      <w:bodyDiv w:val="1"/>
      <w:marLeft w:val="0"/>
      <w:marRight w:val="0"/>
      <w:marTop w:val="0"/>
      <w:marBottom w:val="0"/>
      <w:divBdr>
        <w:top w:val="none" w:sz="0" w:space="0" w:color="auto"/>
        <w:left w:val="none" w:sz="0" w:space="0" w:color="auto"/>
        <w:bottom w:val="none" w:sz="0" w:space="0" w:color="auto"/>
        <w:right w:val="none" w:sz="0" w:space="0" w:color="auto"/>
      </w:divBdr>
    </w:div>
    <w:div w:id="1743864730">
      <w:bodyDiv w:val="1"/>
      <w:marLeft w:val="0"/>
      <w:marRight w:val="0"/>
      <w:marTop w:val="0"/>
      <w:marBottom w:val="0"/>
      <w:divBdr>
        <w:top w:val="none" w:sz="0" w:space="0" w:color="auto"/>
        <w:left w:val="none" w:sz="0" w:space="0" w:color="auto"/>
        <w:bottom w:val="none" w:sz="0" w:space="0" w:color="auto"/>
        <w:right w:val="none" w:sz="0" w:space="0" w:color="auto"/>
      </w:divBdr>
    </w:div>
    <w:div w:id="1815759776">
      <w:bodyDiv w:val="1"/>
      <w:marLeft w:val="0"/>
      <w:marRight w:val="0"/>
      <w:marTop w:val="0"/>
      <w:marBottom w:val="0"/>
      <w:divBdr>
        <w:top w:val="none" w:sz="0" w:space="0" w:color="auto"/>
        <w:left w:val="none" w:sz="0" w:space="0" w:color="auto"/>
        <w:bottom w:val="none" w:sz="0" w:space="0" w:color="auto"/>
        <w:right w:val="none" w:sz="0" w:space="0" w:color="auto"/>
      </w:divBdr>
    </w:div>
    <w:div w:id="1881898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diagramColors" Target="diagrams/colors2.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hyperlink" Target="http://pusdatin.setjen.deptan.go.id/ditjentp/berita-cetak-ribuan-hektar-sawah-baru-kalbar-percepat-pengembangan-food-estate.html"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chart" Target="charts/chart7.xml"/><Relationship Id="rId41" Type="http://schemas.openxmlformats.org/officeDocument/2006/relationships/chart" Target="charts/chart19.xml"/><Relationship Id="rId54"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hyperlink" Target="http://tanamanpangan.deptan.go.id"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chart" Target="charts/chart2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2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IK\Dropbox\SETAPAK%20-%20Project%20(2013)\Activities\B%20-%20Launching%20Hasil%20Studi%202012%20dan%20Konfernas\B.1%20-%20Laporan%20Study%202012\B.1.1%20-%20Laporan%20AAD%20Kabupaten\Report%20Daerah%20-%20Pendapata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CAT'S:TAF:Three%20reports:Chart:grafik%20daerah_Icha_8De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catrionarichards:Downloads:grafik%20daerah_Icha_8D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CAT'S:TAF:Three%20reports:Chart:grafik%20daerah_Icha_8D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CAT'S:TAF:Three%20reports:Chart:grafik%20daerah_Icha_8D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catrionarichards:Downloads:grafik%20daerah_Icha_8De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4"/>
  <c:chart>
    <c:plotArea>
      <c:layout>
        <c:manualLayout>
          <c:layoutTarget val="inner"/>
          <c:xMode val="edge"/>
          <c:yMode val="edge"/>
          <c:x val="0.1204847568269531"/>
          <c:y val="0.14266111806222817"/>
          <c:w val="0.85574431258790795"/>
          <c:h val="0.60993316558482702"/>
        </c:manualLayout>
      </c:layout>
      <c:barChart>
        <c:barDir val="col"/>
        <c:grouping val="clustered"/>
        <c:ser>
          <c:idx val="0"/>
          <c:order val="0"/>
          <c:tx>
            <c:strRef>
              <c:f>'Grafik 2.1'!$C$14</c:f>
              <c:strCache>
                <c:ptCount val="1"/>
                <c:pt idx="0">
                  <c:v>2009</c:v>
                </c:pt>
              </c:strCache>
            </c:strRef>
          </c:tx>
          <c:dLbls>
            <c:spPr>
              <a:noFill/>
              <a:ln>
                <a:noFill/>
              </a:ln>
              <a:effectLst/>
            </c:spPr>
            <c:txPr>
              <a:bodyPr rot="-5400000" vert="horz"/>
              <a:lstStyle/>
              <a:p>
                <a:pPr>
                  <a:defRPr lang="id-ID"/>
                </a:pPr>
                <a:endParaRPr lang="en-US"/>
              </a:p>
            </c:txPr>
            <c:dLblPos val="inBase"/>
            <c:showVal val="1"/>
            <c:extLst>
              <c:ext xmlns:c15="http://schemas.microsoft.com/office/drawing/2012/chart" uri="{CE6537A1-D6FC-4f65-9D91-7224C49458BB}">
                <c15:showLeaderLines val="0"/>
              </c:ext>
            </c:extLst>
          </c:dLbls>
          <c:cat>
            <c:multiLvlStrRef>
              <c:f>'Grafik 2.1'!$D$12:$I$13</c:f>
              <c:multiLvlStrCache>
                <c:ptCount val="6"/>
                <c:lvl>
                  <c:pt idx="0">
                    <c:v>Petroleum (1,000 barrels)</c:v>
                  </c:pt>
                  <c:pt idx="1">
                    <c:v>Natural gas (1,000 MMBTU)</c:v>
                  </c:pt>
                  <c:pt idx="2">
                    <c:v>Coal (tons)</c:v>
                  </c:pt>
                  <c:pt idx="3">
                    <c:v>Petroleum (1,000 barrels)</c:v>
                  </c:pt>
                  <c:pt idx="4">
                    <c:v>Natural gas (1,000 MMBTU)</c:v>
                  </c:pt>
                  <c:pt idx="5">
                    <c:v>Coal (tons)</c:v>
                  </c:pt>
                </c:lvl>
                <c:lvl>
                  <c:pt idx="0">
                    <c:v>South Sumatra</c:v>
                  </c:pt>
                  <c:pt idx="3">
                    <c:v>East Kalimantan</c:v>
                  </c:pt>
                </c:lvl>
              </c:multiLvlStrCache>
            </c:multiLvlStrRef>
          </c:cat>
          <c:val>
            <c:numRef>
              <c:f>'Grafik 2.1'!$D$14:$I$14</c:f>
              <c:numCache>
                <c:formatCode>0</c:formatCode>
                <c:ptCount val="6"/>
                <c:pt idx="0">
                  <c:v>20.716760000000001</c:v>
                </c:pt>
                <c:pt idx="1">
                  <c:v>389.73196999999914</c:v>
                </c:pt>
                <c:pt idx="2" formatCode="_(* #,##0_);_(* \(#,##0\);_(* &quot;-&quot;_);_(@_)">
                  <c:v>10869.869999999981</c:v>
                </c:pt>
                <c:pt idx="3">
                  <c:v>56.145820000000001</c:v>
                </c:pt>
                <c:pt idx="4">
                  <c:v>1084.1717799999999</c:v>
                </c:pt>
                <c:pt idx="5" formatCode="_(* #,##0_);_(* \(#,##0\);_(* &quot;-&quot;_);_(@_)">
                  <c:v>123256.163</c:v>
                </c:pt>
              </c:numCache>
            </c:numRef>
          </c:val>
        </c:ser>
        <c:ser>
          <c:idx val="1"/>
          <c:order val="1"/>
          <c:tx>
            <c:strRef>
              <c:f>'Grafik 2.1'!$C$15</c:f>
              <c:strCache>
                <c:ptCount val="1"/>
                <c:pt idx="0">
                  <c:v>2010</c:v>
                </c:pt>
              </c:strCache>
            </c:strRef>
          </c:tx>
          <c:dLbls>
            <c:spPr>
              <a:noFill/>
              <a:ln>
                <a:noFill/>
              </a:ln>
              <a:effectLst/>
            </c:spPr>
            <c:txPr>
              <a:bodyPr rot="-5400000" vert="horz"/>
              <a:lstStyle/>
              <a:p>
                <a:pPr>
                  <a:defRPr lang="id-ID"/>
                </a:pPr>
                <a:endParaRPr lang="en-US"/>
              </a:p>
            </c:txPr>
            <c:dLblPos val="inBase"/>
            <c:showVal val="1"/>
            <c:extLst>
              <c:ext xmlns:c15="http://schemas.microsoft.com/office/drawing/2012/chart" uri="{CE6537A1-D6FC-4f65-9D91-7224C49458BB}">
                <c15:showLeaderLines val="0"/>
              </c:ext>
            </c:extLst>
          </c:dLbls>
          <c:cat>
            <c:multiLvlStrRef>
              <c:f>'Grafik 2.1'!$D$12:$I$13</c:f>
              <c:multiLvlStrCache>
                <c:ptCount val="6"/>
                <c:lvl>
                  <c:pt idx="0">
                    <c:v>Petroleum (1,000 barrels)</c:v>
                  </c:pt>
                  <c:pt idx="1">
                    <c:v>Natural gas (1,000 MMBTU)</c:v>
                  </c:pt>
                  <c:pt idx="2">
                    <c:v>Coal (tons)</c:v>
                  </c:pt>
                  <c:pt idx="3">
                    <c:v>Petroleum (1,000 barrels)</c:v>
                  </c:pt>
                  <c:pt idx="4">
                    <c:v>Natural gas (1,000 MMBTU)</c:v>
                  </c:pt>
                  <c:pt idx="5">
                    <c:v>Coal (tons)</c:v>
                  </c:pt>
                </c:lvl>
                <c:lvl>
                  <c:pt idx="0">
                    <c:v>South Sumatra</c:v>
                  </c:pt>
                  <c:pt idx="3">
                    <c:v>East Kalimantan</c:v>
                  </c:pt>
                </c:lvl>
              </c:multiLvlStrCache>
            </c:multiLvlStrRef>
          </c:cat>
          <c:val>
            <c:numRef>
              <c:f>'Grafik 2.1'!$D$15:$I$15</c:f>
              <c:numCache>
                <c:formatCode>0</c:formatCode>
                <c:ptCount val="6"/>
                <c:pt idx="0">
                  <c:v>25.407060000000001</c:v>
                </c:pt>
                <c:pt idx="1">
                  <c:v>569.53818000000001</c:v>
                </c:pt>
                <c:pt idx="2" formatCode="_(* #,##0_);_(* \(#,##0\);_(* &quot;-&quot;_);_(@_)">
                  <c:v>15365.65929</c:v>
                </c:pt>
                <c:pt idx="3">
                  <c:v>56.791010000000043</c:v>
                </c:pt>
                <c:pt idx="4">
                  <c:v>1045.5036600000001</c:v>
                </c:pt>
                <c:pt idx="5" formatCode="_(* #,##0_);_(* \(#,##0\);_(* &quot;-&quot;_);_(@_)">
                  <c:v>140753.37399999998</c:v>
                </c:pt>
              </c:numCache>
            </c:numRef>
          </c:val>
        </c:ser>
        <c:ser>
          <c:idx val="2"/>
          <c:order val="2"/>
          <c:tx>
            <c:strRef>
              <c:f>'Grafik 2.1'!$C$16</c:f>
              <c:strCache>
                <c:ptCount val="1"/>
                <c:pt idx="0">
                  <c:v>2011</c:v>
                </c:pt>
              </c:strCache>
            </c:strRef>
          </c:tx>
          <c:dLbls>
            <c:spPr>
              <a:noFill/>
              <a:ln>
                <a:noFill/>
              </a:ln>
              <a:effectLst/>
            </c:spPr>
            <c:txPr>
              <a:bodyPr rot="-5400000" vert="horz"/>
              <a:lstStyle/>
              <a:p>
                <a:pPr>
                  <a:defRPr lang="id-ID"/>
                </a:pPr>
                <a:endParaRPr lang="en-US"/>
              </a:p>
            </c:txPr>
            <c:dLblPos val="inBase"/>
            <c:showVal val="1"/>
            <c:extLst>
              <c:ext xmlns:c15="http://schemas.microsoft.com/office/drawing/2012/chart" uri="{CE6537A1-D6FC-4f65-9D91-7224C49458BB}">
                <c15:showLeaderLines val="0"/>
              </c:ext>
            </c:extLst>
          </c:dLbls>
          <c:cat>
            <c:multiLvlStrRef>
              <c:f>'Grafik 2.1'!$D$12:$I$13</c:f>
              <c:multiLvlStrCache>
                <c:ptCount val="6"/>
                <c:lvl>
                  <c:pt idx="0">
                    <c:v>Petroleum (1,000 barrels)</c:v>
                  </c:pt>
                  <c:pt idx="1">
                    <c:v>Natural gas (1,000 MMBTU)</c:v>
                  </c:pt>
                  <c:pt idx="2">
                    <c:v>Coal (tons)</c:v>
                  </c:pt>
                  <c:pt idx="3">
                    <c:v>Petroleum (1,000 barrels)</c:v>
                  </c:pt>
                  <c:pt idx="4">
                    <c:v>Natural gas (1,000 MMBTU)</c:v>
                  </c:pt>
                  <c:pt idx="5">
                    <c:v>Coal (tons)</c:v>
                  </c:pt>
                </c:lvl>
                <c:lvl>
                  <c:pt idx="0">
                    <c:v>South Sumatra</c:v>
                  </c:pt>
                  <c:pt idx="3">
                    <c:v>East Kalimantan</c:v>
                  </c:pt>
                </c:lvl>
              </c:multiLvlStrCache>
            </c:multiLvlStrRef>
          </c:cat>
          <c:val>
            <c:numRef>
              <c:f>'Grafik 2.1'!$D$16:$I$16</c:f>
              <c:numCache>
                <c:formatCode>0</c:formatCode>
                <c:ptCount val="6"/>
                <c:pt idx="0">
                  <c:v>12.130040000000001</c:v>
                </c:pt>
                <c:pt idx="1">
                  <c:v>578.58104000000003</c:v>
                </c:pt>
                <c:pt idx="2" formatCode="_(* #,##0_);_(* \(#,##0\);_(* &quot;-&quot;_);_(@_)">
                  <c:v>20020.66940999997</c:v>
                </c:pt>
                <c:pt idx="3">
                  <c:v>53.024000000000001</c:v>
                </c:pt>
                <c:pt idx="4">
                  <c:v>911.53</c:v>
                </c:pt>
                <c:pt idx="5" formatCode="_(* #,##0_);_(* \(#,##0\);_(* &quot;-&quot;_);_(@_)">
                  <c:v>204989.75599999999</c:v>
                </c:pt>
              </c:numCache>
            </c:numRef>
          </c:val>
        </c:ser>
        <c:dLbls>
          <c:showVal val="1"/>
        </c:dLbls>
        <c:gapWidth val="75"/>
        <c:axId val="116017792"/>
        <c:axId val="116031872"/>
      </c:barChart>
      <c:catAx>
        <c:axId val="116017792"/>
        <c:scaling>
          <c:orientation val="minMax"/>
        </c:scaling>
        <c:axPos val="b"/>
        <c:numFmt formatCode="General" sourceLinked="0"/>
        <c:majorTickMark val="none"/>
        <c:tickLblPos val="nextTo"/>
        <c:txPr>
          <a:bodyPr/>
          <a:lstStyle/>
          <a:p>
            <a:pPr>
              <a:defRPr lang="id-ID"/>
            </a:pPr>
            <a:endParaRPr lang="en-US"/>
          </a:p>
        </c:txPr>
        <c:crossAx val="116031872"/>
        <c:crosses val="autoZero"/>
        <c:auto val="1"/>
        <c:lblAlgn val="ctr"/>
        <c:lblOffset val="100"/>
      </c:catAx>
      <c:valAx>
        <c:axId val="116031872"/>
        <c:scaling>
          <c:logBase val="10"/>
          <c:orientation val="minMax"/>
        </c:scaling>
        <c:axPos val="l"/>
        <c:numFmt formatCode="0" sourceLinked="1"/>
        <c:majorTickMark val="none"/>
        <c:tickLblPos val="nextTo"/>
        <c:txPr>
          <a:bodyPr/>
          <a:lstStyle/>
          <a:p>
            <a:pPr>
              <a:defRPr lang="id-ID"/>
            </a:pPr>
            <a:endParaRPr lang="en-US"/>
          </a:p>
        </c:txPr>
        <c:crossAx val="116017792"/>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 3.9'!$D$15</c:f>
              <c:strCache>
                <c:ptCount val="1"/>
                <c:pt idx="0">
                  <c:v>Regional Revenue</c:v>
                </c:pt>
              </c:strCache>
            </c:strRef>
          </c:tx>
          <c:cat>
            <c:multiLvlStrRef>
              <c:f>'Grafik 3.9'!$B$16:$C$39</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3.9'!$D$16:$D$39</c:f>
              <c:numCache>
                <c:formatCode>#,##0</c:formatCode>
                <c:ptCount val="24"/>
                <c:pt idx="0">
                  <c:v>1179250.4904032601</c:v>
                </c:pt>
                <c:pt idx="1">
                  <c:v>1833103.3115570701</c:v>
                </c:pt>
                <c:pt idx="2">
                  <c:v>2166923.9874562677</c:v>
                </c:pt>
                <c:pt idx="3">
                  <c:v>2120381.5</c:v>
                </c:pt>
                <c:pt idx="4">
                  <c:v>804084.33866057044</c:v>
                </c:pt>
                <c:pt idx="5">
                  <c:v>1001484.2665791993</c:v>
                </c:pt>
                <c:pt idx="6">
                  <c:v>1231335.0633499708</c:v>
                </c:pt>
                <c:pt idx="7">
                  <c:v>1208649.26198</c:v>
                </c:pt>
                <c:pt idx="8">
                  <c:v>653819.3831444399</c:v>
                </c:pt>
                <c:pt idx="9">
                  <c:v>723387.6719183682</c:v>
                </c:pt>
                <c:pt idx="10">
                  <c:v>848856.79508369998</c:v>
                </c:pt>
                <c:pt idx="11">
                  <c:v>808299.13879600004</c:v>
                </c:pt>
                <c:pt idx="12">
                  <c:v>473445.02434329042</c:v>
                </c:pt>
                <c:pt idx="13">
                  <c:v>606571.53393893014</c:v>
                </c:pt>
                <c:pt idx="14">
                  <c:v>741570.7195430086</c:v>
                </c:pt>
                <c:pt idx="15">
                  <c:v>790335.03097997897</c:v>
                </c:pt>
                <c:pt idx="16">
                  <c:v>1186491.7152292184</c:v>
                </c:pt>
                <c:pt idx="17">
                  <c:v>1184062.5314976301</c:v>
                </c:pt>
                <c:pt idx="18">
                  <c:v>1706072.4036362399</c:v>
                </c:pt>
                <c:pt idx="19">
                  <c:v>1257668.5595931511</c:v>
                </c:pt>
                <c:pt idx="20">
                  <c:v>998652.44941520004</c:v>
                </c:pt>
                <c:pt idx="21">
                  <c:v>1012848.50927122</c:v>
                </c:pt>
                <c:pt idx="22">
                  <c:v>1311166.4447356998</c:v>
                </c:pt>
                <c:pt idx="23">
                  <c:v>985995.44895999995</c:v>
                </c:pt>
              </c:numCache>
            </c:numRef>
          </c:val>
        </c:ser>
        <c:gapWidth val="30"/>
        <c:axId val="90351872"/>
        <c:axId val="90370048"/>
      </c:barChart>
      <c:lineChart>
        <c:grouping val="standard"/>
        <c:ser>
          <c:idx val="1"/>
          <c:order val="1"/>
          <c:tx>
            <c:strRef>
              <c:f>'Grafik 3.9'!$E$15</c:f>
              <c:strCache>
                <c:ptCount val="1"/>
                <c:pt idx="0">
                  <c:v>Growth</c:v>
                </c:pt>
              </c:strCache>
            </c:strRef>
          </c:tx>
          <c:marker>
            <c:symbol val="circle"/>
            <c:size val="7"/>
          </c:marker>
          <c:dLbls>
            <c:dLbl>
              <c:idx val="6"/>
              <c:layout>
                <c:manualLayout>
                  <c:x val="-1.15771268850914E-2"/>
                  <c:y val="-3.9023070462348139E-2"/>
                </c:manualLayout>
              </c:layout>
              <c:dLblPos val="r"/>
              <c:showVal val="1"/>
              <c:extLst>
                <c:ext xmlns:c15="http://schemas.microsoft.com/office/drawing/2012/chart" uri="{CE6537A1-D6FC-4f65-9D91-7224C49458BB}"/>
              </c:extLst>
            </c:dLbl>
            <c:spPr>
              <a:noFill/>
              <a:ln>
                <a:noFill/>
              </a:ln>
              <a:effectLst/>
            </c:spPr>
            <c:txPr>
              <a:bodyPr/>
              <a:lstStyle/>
              <a:p>
                <a:pPr>
                  <a:defRPr lang="id-ID" sz="800"/>
                </a:pPr>
                <a:endParaRPr lang="en-US"/>
              </a:p>
            </c:txPr>
            <c:dLblPos val="t"/>
            <c:showVal val="1"/>
            <c:extLst>
              <c:ext xmlns:c15="http://schemas.microsoft.com/office/drawing/2012/chart" uri="{CE6537A1-D6FC-4f65-9D91-7224C49458BB}">
                <c15:showLeaderLines val="0"/>
              </c:ext>
            </c:extLst>
          </c:dLbls>
          <c:cat>
            <c:multiLvlStrRef>
              <c:f>'Grafik 3.9'!$B$16:$C$39</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3.9'!$E$16:$E$39</c:f>
              <c:numCache>
                <c:formatCode>0%</c:formatCode>
                <c:ptCount val="24"/>
                <c:pt idx="1">
                  <c:v>0.55446474389865708</c:v>
                </c:pt>
                <c:pt idx="2">
                  <c:v>0.18210685333149426</c:v>
                </c:pt>
                <c:pt idx="3">
                  <c:v>-2.1478597184622937E-2</c:v>
                </c:pt>
                <c:pt idx="5">
                  <c:v>0.24549654610541927</c:v>
                </c:pt>
                <c:pt idx="6">
                  <c:v>0.22951014253661517</c:v>
                </c:pt>
                <c:pt idx="7">
                  <c:v>-1.8423743500206199E-2</c:v>
                </c:pt>
                <c:pt idx="9">
                  <c:v>0.10640291580123008</c:v>
                </c:pt>
                <c:pt idx="10">
                  <c:v>0.17344658754357123</c:v>
                </c:pt>
                <c:pt idx="11">
                  <c:v>-4.7779150173028702E-2</c:v>
                </c:pt>
                <c:pt idx="13">
                  <c:v>0.28118683849365333</c:v>
                </c:pt>
                <c:pt idx="14">
                  <c:v>0.222561030398884</c:v>
                </c:pt>
                <c:pt idx="15">
                  <c:v>6.5758140325471406E-2</c:v>
                </c:pt>
                <c:pt idx="17">
                  <c:v>-2.0473667876565373E-3</c:v>
                </c:pt>
                <c:pt idx="18">
                  <c:v>0.44086343267560302</c:v>
                </c:pt>
                <c:pt idx="19">
                  <c:v>-0.26282814439022834</c:v>
                </c:pt>
                <c:pt idx="21">
                  <c:v>1.4215215578085498E-2</c:v>
                </c:pt>
                <c:pt idx="22">
                  <c:v>0.29453361754871893</c:v>
                </c:pt>
                <c:pt idx="23">
                  <c:v>-0.24800130988804123</c:v>
                </c:pt>
              </c:numCache>
            </c:numRef>
          </c:val>
          <c:smooth val="1"/>
        </c:ser>
        <c:marker val="1"/>
        <c:axId val="90373504"/>
        <c:axId val="90371968"/>
      </c:lineChart>
      <c:catAx>
        <c:axId val="90351872"/>
        <c:scaling>
          <c:orientation val="minMax"/>
        </c:scaling>
        <c:axPos val="b"/>
        <c:numFmt formatCode="General" sourceLinked="0"/>
        <c:tickLblPos val="nextTo"/>
        <c:txPr>
          <a:bodyPr/>
          <a:lstStyle/>
          <a:p>
            <a:pPr>
              <a:defRPr lang="id-ID"/>
            </a:pPr>
            <a:endParaRPr lang="en-US"/>
          </a:p>
        </c:txPr>
        <c:crossAx val="90370048"/>
        <c:crosses val="autoZero"/>
        <c:auto val="1"/>
        <c:lblAlgn val="ctr"/>
        <c:lblOffset val="100"/>
      </c:catAx>
      <c:valAx>
        <c:axId val="90370048"/>
        <c:scaling>
          <c:orientation val="minMax"/>
        </c:scaling>
        <c:axPos val="l"/>
        <c:majorGridlines/>
        <c:title>
          <c:tx>
            <c:rich>
              <a:bodyPr rot="-5400000" vert="horz"/>
              <a:lstStyle/>
              <a:p>
                <a:pPr>
                  <a:defRPr lang="id-ID"/>
                </a:pPr>
                <a:r>
                  <a:rPr lang="en-US"/>
                  <a:t>(Rp</a:t>
                </a:r>
                <a:r>
                  <a:rPr lang="en-US" baseline="0"/>
                  <a:t> million</a:t>
                </a:r>
                <a:r>
                  <a:rPr lang="en-US"/>
                  <a:t>)</a:t>
                </a:r>
              </a:p>
            </c:rich>
          </c:tx>
        </c:title>
        <c:numFmt formatCode="#,##0_);\(#,##0\)" sourceLinked="0"/>
        <c:tickLblPos val="nextTo"/>
        <c:txPr>
          <a:bodyPr/>
          <a:lstStyle/>
          <a:p>
            <a:pPr>
              <a:defRPr lang="id-ID"/>
            </a:pPr>
            <a:endParaRPr lang="en-US"/>
          </a:p>
        </c:txPr>
        <c:crossAx val="90351872"/>
        <c:crosses val="autoZero"/>
        <c:crossBetween val="between"/>
      </c:valAx>
      <c:valAx>
        <c:axId val="90371968"/>
        <c:scaling>
          <c:orientation val="minMax"/>
        </c:scaling>
        <c:axPos val="r"/>
        <c:numFmt formatCode="0%" sourceLinked="0"/>
        <c:tickLblPos val="nextTo"/>
        <c:txPr>
          <a:bodyPr/>
          <a:lstStyle/>
          <a:p>
            <a:pPr>
              <a:defRPr lang="id-ID"/>
            </a:pPr>
            <a:endParaRPr lang="en-US"/>
          </a:p>
        </c:txPr>
        <c:crossAx val="90373504"/>
        <c:crosses val="max"/>
        <c:crossBetween val="between"/>
      </c:valAx>
      <c:catAx>
        <c:axId val="90373504"/>
        <c:scaling>
          <c:orientation val="minMax"/>
        </c:scaling>
        <c:delete val="1"/>
        <c:axPos val="b"/>
        <c:numFmt formatCode="General" sourceLinked="1"/>
        <c:tickLblPos val="none"/>
        <c:crossAx val="90371968"/>
        <c:crosses val="autoZero"/>
        <c:auto val="1"/>
        <c:lblAlgn val="ctr"/>
        <c:lblOffset val="100"/>
      </c:catAx>
    </c:plotArea>
    <c:legend>
      <c:legendPos val="b"/>
      <c:txPr>
        <a:bodyPr/>
        <a:lstStyle/>
        <a:p>
          <a:pPr>
            <a:defRPr lang="id-ID"/>
          </a:pPr>
          <a:endParaRPr lang="en-US"/>
        </a:p>
      </c:txPr>
    </c:legend>
    <c:plotVisOnly val="1"/>
    <c:dispBlanksAs val="gap"/>
  </c:chart>
  <c:txPr>
    <a:bodyPr/>
    <a:lstStyle/>
    <a:p>
      <a:pPr>
        <a:defRPr sz="1000">
          <a:latin typeface="+mj-lt"/>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2"/>
          <c:order val="2"/>
          <c:tx>
            <c:strRef>
              <c:f>'Grafik 3.10'!$D$15</c:f>
            </c:strRef>
          </c:tx>
          <c:cat>
            <c:multiLvlStrRef>
              <c:f>'Grafik 3.10'!$C$16:$C$24</c:f>
            </c:multiLvlStrRef>
          </c:cat>
          <c:val>
            <c:numRef>
              <c:f>'Grafik 3.10'!$D$16:$D$24</c:f>
            </c:numRef>
          </c:val>
        </c:ser>
        <c:ser>
          <c:idx val="3"/>
          <c:order val="3"/>
          <c:tx>
            <c:strRef>
              <c:f>'Grafik 3.10'!$E$15</c:f>
            </c:strRef>
          </c:tx>
          <c:cat>
            <c:multiLvlStrRef>
              <c:f>'Grafik 3.10'!$C$16:$C$24</c:f>
            </c:multiLvlStrRef>
          </c:cat>
          <c:val>
            <c:numRef>
              <c:f>'Grafik 3.10'!$E$16:$E$24</c:f>
            </c:numRef>
          </c:val>
        </c:ser>
        <c:ser>
          <c:idx val="0"/>
          <c:order val="0"/>
          <c:tx>
            <c:strRef>
              <c:f>'[grafik daerah_Icha_8Des(1).xlsx]Grafik 3.10'!$D$15</c:f>
              <c:strCache>
                <c:ptCount val="1"/>
                <c:pt idx="0">
                  <c:v>Per Capita Revenue 2010 </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strRef>
              <c:f>'[grafik daerah_Icha_8Des(1).xlsx]Grafik 3.10'!$C$16:$C$24</c:f>
              <c:strCache>
                <c:ptCount val="9"/>
                <c:pt idx="0">
                  <c:v>East Kalimantan</c:v>
                </c:pt>
                <c:pt idx="1">
                  <c:v>West Kalimantan </c:v>
                </c:pt>
                <c:pt idx="2">
                  <c:v>South Sumatra</c:v>
                </c:pt>
                <c:pt idx="3">
                  <c:v>Musi Banyuasin</c:v>
                </c:pt>
                <c:pt idx="4">
                  <c:v>Musi Rawas</c:v>
                </c:pt>
                <c:pt idx="5">
                  <c:v>Sintang</c:v>
                </c:pt>
                <c:pt idx="6">
                  <c:v>Kubu Raya</c:v>
                </c:pt>
                <c:pt idx="7">
                  <c:v>Berau</c:v>
                </c:pt>
                <c:pt idx="8">
                  <c:v>Bulungan</c:v>
                </c:pt>
              </c:strCache>
            </c:strRef>
          </c:cat>
          <c:val>
            <c:numRef>
              <c:f>'[grafik daerah_Icha_8Des(1).xlsx]Grafik 3.10'!$D$16:$D$24</c:f>
              <c:numCache>
                <c:formatCode>#,##0</c:formatCode>
                <c:ptCount val="9"/>
                <c:pt idx="0">
                  <c:v>7416879.3956215298</c:v>
                </c:pt>
                <c:pt idx="1">
                  <c:v>2263404.1505861501</c:v>
                </c:pt>
                <c:pt idx="2">
                  <c:v>2077762.15368439</c:v>
                </c:pt>
                <c:pt idx="3">
                  <c:v>3258363.7493371102</c:v>
                </c:pt>
                <c:pt idx="4">
                  <c:v>1907883.4383575383</c:v>
                </c:pt>
                <c:pt idx="5">
                  <c:v>1987448.8895438018</c:v>
                </c:pt>
                <c:pt idx="6">
                  <c:v>1217201.2167344501</c:v>
                </c:pt>
                <c:pt idx="7">
                  <c:v>6598507.2306548608</c:v>
                </c:pt>
                <c:pt idx="8">
                  <c:v>8959693.1246071998</c:v>
                </c:pt>
              </c:numCache>
            </c:numRef>
          </c:val>
        </c:ser>
        <c:gapWidth val="30"/>
        <c:axId val="101590912"/>
        <c:axId val="101592448"/>
      </c:barChart>
      <c:lineChart>
        <c:grouping val="standard"/>
        <c:ser>
          <c:idx val="1"/>
          <c:order val="1"/>
          <c:tx>
            <c:strRef>
              <c:f>'[grafik daerah_Icha_8Des(1).xlsx]Grafik 3.10'!$E$15</c:f>
              <c:strCache>
                <c:ptCount val="1"/>
                <c:pt idx="0">
                  <c:v>National Per Capita Revenue 2010</c:v>
                </c:pt>
              </c:strCache>
            </c:strRef>
          </c:tx>
          <c:marker>
            <c:symbol val="none"/>
          </c:marker>
          <c:dLbls>
            <c:dLbl>
              <c:idx val="8"/>
              <c:layout>
                <c:manualLayout>
                  <c:x val="-3.3333333333333298E-2"/>
                  <c:y val="-3.7037037037037139E-2"/>
                </c:manualLayout>
              </c:layout>
              <c:spPr>
                <a:solidFill>
                  <a:schemeClr val="accent2"/>
                </a:solidFill>
              </c:spPr>
              <c:txPr>
                <a:bodyPr/>
                <a:lstStyle/>
                <a:p>
                  <a:pPr>
                    <a:defRPr lang="id-ID"/>
                  </a:pPr>
                  <a:endParaRPr lang="en-US"/>
                </a:p>
              </c:txPr>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strRef>
              <c:f>'[grafik daerah_Icha_8Des(1).xlsx]Grafik 3.10'!$C$16:$C$24</c:f>
              <c:strCache>
                <c:ptCount val="9"/>
                <c:pt idx="0">
                  <c:v>East Kalimantan</c:v>
                </c:pt>
                <c:pt idx="1">
                  <c:v>West Kalimantan </c:v>
                </c:pt>
                <c:pt idx="2">
                  <c:v>South Sumatra</c:v>
                </c:pt>
                <c:pt idx="3">
                  <c:v>Musi Banyuasin</c:v>
                </c:pt>
                <c:pt idx="4">
                  <c:v>Musi Rawas</c:v>
                </c:pt>
                <c:pt idx="5">
                  <c:v>Sintang</c:v>
                </c:pt>
                <c:pt idx="6">
                  <c:v>Kubu Raya</c:v>
                </c:pt>
                <c:pt idx="7">
                  <c:v>Berau</c:v>
                </c:pt>
                <c:pt idx="8">
                  <c:v>Bulungan</c:v>
                </c:pt>
              </c:strCache>
            </c:strRef>
          </c:cat>
          <c:val>
            <c:numRef>
              <c:f>'[grafik daerah_Icha_8Des(1).xlsx]Grafik 3.10'!$E$16:$E$24</c:f>
              <c:numCache>
                <c:formatCode>#,##0</c:formatCode>
                <c:ptCount val="9"/>
                <c:pt idx="0">
                  <c:v>1888680.5760202</c:v>
                </c:pt>
                <c:pt idx="1">
                  <c:v>1888680.5760202</c:v>
                </c:pt>
                <c:pt idx="2">
                  <c:v>1888680.5760202</c:v>
                </c:pt>
                <c:pt idx="3">
                  <c:v>1888680.5760202</c:v>
                </c:pt>
                <c:pt idx="4">
                  <c:v>1888680.5760202</c:v>
                </c:pt>
                <c:pt idx="5">
                  <c:v>1888680.5760202</c:v>
                </c:pt>
                <c:pt idx="6">
                  <c:v>1888680.5760202</c:v>
                </c:pt>
                <c:pt idx="7">
                  <c:v>1888680.5760202</c:v>
                </c:pt>
                <c:pt idx="8">
                  <c:v>1888680.5760202</c:v>
                </c:pt>
              </c:numCache>
            </c:numRef>
          </c:val>
        </c:ser>
        <c:marker val="1"/>
        <c:axId val="101590912"/>
        <c:axId val="101592448"/>
      </c:lineChart>
      <c:catAx>
        <c:axId val="101590912"/>
        <c:scaling>
          <c:orientation val="minMax"/>
        </c:scaling>
        <c:axPos val="b"/>
        <c:numFmt formatCode="General" sourceLinked="0"/>
        <c:tickLblPos val="nextTo"/>
        <c:txPr>
          <a:bodyPr/>
          <a:lstStyle/>
          <a:p>
            <a:pPr>
              <a:defRPr lang="id-ID"/>
            </a:pPr>
            <a:endParaRPr lang="en-US"/>
          </a:p>
        </c:txPr>
        <c:crossAx val="101592448"/>
        <c:crosses val="autoZero"/>
        <c:auto val="1"/>
        <c:lblAlgn val="ctr"/>
        <c:lblOffset val="100"/>
      </c:catAx>
      <c:valAx>
        <c:axId val="101592448"/>
        <c:scaling>
          <c:orientation val="minMax"/>
        </c:scaling>
        <c:axPos val="l"/>
        <c:majorGridlines/>
        <c:numFmt formatCode="#,##0" sourceLinked="1"/>
        <c:tickLblPos val="nextTo"/>
        <c:txPr>
          <a:bodyPr/>
          <a:lstStyle/>
          <a:p>
            <a:pPr>
              <a:defRPr lang="id-ID"/>
            </a:pPr>
            <a:endParaRPr lang="en-US"/>
          </a:p>
        </c:txPr>
        <c:crossAx val="101590912"/>
        <c:crosses val="autoZero"/>
        <c:crossBetween val="between"/>
        <c:dispUnits>
          <c:builtInUnit val="thousands"/>
          <c:dispUnitsLbl>
            <c:tx>
              <c:rich>
                <a:bodyPr/>
                <a:lstStyle/>
                <a:p>
                  <a:pPr>
                    <a:defRPr lang="id-ID"/>
                  </a:pPr>
                  <a:r>
                    <a:rPr lang="en-US"/>
                    <a:t>(Rp</a:t>
                  </a:r>
                  <a:r>
                    <a:rPr lang="en-US" baseline="0"/>
                    <a:t> million)</a:t>
                  </a:r>
                </a:p>
                <a:p>
                  <a:pPr>
                    <a:defRPr lang="id-ID"/>
                  </a:pPr>
                  <a:endParaRPr lang="en-US"/>
                </a:p>
              </c:rich>
            </c:tx>
          </c:dispUnitsLbl>
        </c:dispUnits>
      </c:valAx>
    </c:plotArea>
    <c:legend>
      <c:legendPos val="b"/>
      <c:legendEntry>
        <c:idx val="0"/>
        <c:delete val="1"/>
      </c:legendEntry>
      <c:legendEntry>
        <c:idx val="1"/>
        <c:delete val="1"/>
      </c:legendEntry>
      <c:txPr>
        <a:bodyPr/>
        <a:lstStyle/>
        <a:p>
          <a:pPr>
            <a:defRPr lang="id-ID"/>
          </a:pPr>
          <a:endParaRPr lang="en-US"/>
        </a:p>
      </c:txPr>
    </c:legend>
    <c:plotVisOnly val="1"/>
    <c:dispBlanksAs val="gap"/>
  </c:chart>
  <c:txPr>
    <a:bodyPr/>
    <a:lstStyle/>
    <a:p>
      <a:pPr>
        <a:defRPr>
          <a:latin typeface="+mj-lt"/>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7012422183712"/>
          <c:y val="8.0026133242830796E-2"/>
          <c:w val="0.72452591277720302"/>
          <c:h val="0.5484847967702442"/>
        </c:manualLayout>
      </c:layout>
      <c:barChart>
        <c:barDir val="col"/>
        <c:grouping val="clustered"/>
        <c:ser>
          <c:idx val="4"/>
          <c:order val="4"/>
          <c:tx>
            <c:strRef>
              <c:f>'[grafik daerah_Icha_8Des.xlsx]Grafik 3.11'!$L$15</c:f>
            </c:strRef>
          </c:tx>
          <c:cat>
            <c:multiLvlStrRef>
              <c:f>'[grafik daerah_Icha_8Des.xlsx]Grafik 3.11'!$J$42:$K$53</c:f>
            </c:multiLvlStrRef>
          </c:cat>
          <c:val>
            <c:numRef>
              <c:f>'[grafik daerah_Icha_8Des.xlsx]Grafik 3.11'!$L$42:$L$53</c:f>
            </c:numRef>
          </c:val>
        </c:ser>
        <c:ser>
          <c:idx val="5"/>
          <c:order val="5"/>
          <c:tx>
            <c:strRef>
              <c:f>"Rerata Provinsi DBH Perkapita"</c:f>
            </c:strRef>
          </c:tx>
          <c:spPr>
            <a:ln>
              <a:solidFill>
                <a:srgbClr val="FF0000"/>
              </a:solidFill>
            </a:ln>
          </c:spPr>
          <c:cat>
            <c:multiLvlStrRef>
              <c:f>'[grafik daerah_Icha_8Des.xlsx]Grafik 3.11'!$J$42:$K$53</c:f>
            </c:multiLvlStrRef>
          </c:cat>
          <c:val>
            <c:numRef>
              <c:f>'[grafik daerah_Icha_8Des.xlsx]Grafik 3.11'!$M$42:$M$53</c:f>
            </c:numRef>
          </c:val>
        </c:ser>
        <c:ser>
          <c:idx val="6"/>
          <c:order val="6"/>
          <c:tx>
            <c:strRef>
              <c:f>"Rasio DBH Perkapita thd Pendapatan"</c:f>
            </c:strRef>
          </c:tx>
          <c:spPr>
            <a:ln>
              <a:noFill/>
            </a:ln>
          </c:spPr>
          <c:cat>
            <c:multiLvlStrRef>
              <c:f>'[grafik daerah_Icha_8Des.xlsx]Grafik 3.11'!$J$42:$K$53</c:f>
            </c:multiLvlStrRef>
          </c:cat>
          <c:val>
            <c:numRef>
              <c:f>'[grafik daerah_Icha_8Des.xlsx]Grafik 3.11'!$N$42:$N$53</c:f>
            </c:numRef>
          </c:val>
        </c:ser>
        <c:ser>
          <c:idx val="7"/>
          <c:order val="7"/>
          <c:tx>
            <c:strRef>
              <c:f>"Rerata Rasio DBH"</c:f>
            </c:strRef>
          </c:tx>
          <c:spPr>
            <a:ln w="28575">
              <a:solidFill>
                <a:schemeClr val="tx1"/>
              </a:solidFill>
            </a:ln>
          </c:spPr>
          <c:cat>
            <c:multiLvlStrRef>
              <c:f>'[grafik daerah_Icha_8Des.xlsx]Grafik 3.11'!$J$42:$K$53</c:f>
            </c:multiLvlStrRef>
          </c:cat>
          <c:val>
            <c:numRef>
              <c:f>'[grafik daerah_Icha_8Des.xlsx]Grafik 3.11'!$O$42:$O$53</c:f>
            </c:numRef>
          </c:val>
        </c:ser>
        <c:ser>
          <c:idx val="0"/>
          <c:order val="0"/>
          <c:tx>
            <c:strRef>
              <c:f>'[grafik daerah_Icha_8Des.xlsx]Grafik 3.11'!$L$41</c:f>
              <c:strCache>
                <c:ptCount val="1"/>
                <c:pt idx="0">
                  <c:v>Per Capita DBH (Rp)</c:v>
                </c:pt>
              </c:strCache>
            </c:strRef>
          </c:tx>
          <c:cat>
            <c:multiLvlStrRef>
              <c:f>'[grafik daerah_Icha_8Des.xlsx]Grafik 3.11'!$J$42:$K$53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daerah_Icha_8Des.xlsx]Grafik 3.11'!$L$42:$L$53</c:f>
              <c:numCache>
                <c:formatCode>_(* #,##0_);_(* \(#,##0\);_(* "-"??_);_(@_)</c:formatCode>
                <c:ptCount val="12"/>
                <c:pt idx="0">
                  <c:v>126536.79802426267</c:v>
                </c:pt>
                <c:pt idx="1">
                  <c:v>190914.41668525781</c:v>
                </c:pt>
                <c:pt idx="2">
                  <c:v>181291.71336000517</c:v>
                </c:pt>
                <c:pt idx="3">
                  <c:v>193855.10449947568</c:v>
                </c:pt>
                <c:pt idx="4">
                  <c:v>29233.253799030001</c:v>
                </c:pt>
                <c:pt idx="5">
                  <c:v>34005.307293492559</c:v>
                </c:pt>
                <c:pt idx="6">
                  <c:v>36029.945000532723</c:v>
                </c:pt>
                <c:pt idx="7">
                  <c:v>31980.959833963061</c:v>
                </c:pt>
                <c:pt idx="8">
                  <c:v>996230.75299796369</c:v>
                </c:pt>
                <c:pt idx="9">
                  <c:v>1323522.1366098311</c:v>
                </c:pt>
                <c:pt idx="10">
                  <c:v>1507067.9795381001</c:v>
                </c:pt>
                <c:pt idx="11">
                  <c:v>1207481.6227518511</c:v>
                </c:pt>
              </c:numCache>
            </c:numRef>
          </c:val>
        </c:ser>
        <c:gapWidth val="20"/>
        <c:axId val="101686272"/>
        <c:axId val="101716736"/>
      </c:barChart>
      <c:lineChart>
        <c:grouping val="standard"/>
        <c:ser>
          <c:idx val="2"/>
          <c:order val="2"/>
          <c:tx>
            <c:strRef>
              <c:f>'[grafik daerah_Icha_8Des.xlsx]Grafik 3.11'!$M$41</c:f>
              <c:strCache>
                <c:ptCount val="1"/>
                <c:pt idx="0">
                  <c:v>Average Provincial Per Capita DBH (Rp)</c:v>
                </c:pt>
              </c:strCache>
            </c:strRef>
          </c:tx>
          <c:spPr>
            <a:ln>
              <a:solidFill>
                <a:srgbClr val="FF0000"/>
              </a:solidFill>
            </a:ln>
          </c:spPr>
          <c:marker>
            <c:symbol val="none"/>
          </c:marker>
          <c:cat>
            <c:multiLvlStrRef>
              <c:f>'[grafik daerah_Icha_8Des.xlsx]Grafik 3.11'!$J$42:$K$53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daerah_Icha_8Des.xlsx]Grafik 3.11'!$M$42:$M$53</c:f>
              <c:numCache>
                <c:formatCode>_(* #,##0_);_(* \(#,##0\);_(* "-"??_);_(@_)</c:formatCode>
                <c:ptCount val="12"/>
                <c:pt idx="0">
                  <c:v>501572.52382522239</c:v>
                </c:pt>
                <c:pt idx="1">
                  <c:v>501572.52382522239</c:v>
                </c:pt>
                <c:pt idx="2">
                  <c:v>501572.52382522239</c:v>
                </c:pt>
                <c:pt idx="3">
                  <c:v>501572.52382522239</c:v>
                </c:pt>
                <c:pt idx="4">
                  <c:v>501572.52382522239</c:v>
                </c:pt>
                <c:pt idx="5">
                  <c:v>501572.52382522239</c:v>
                </c:pt>
                <c:pt idx="6">
                  <c:v>501572.52382522239</c:v>
                </c:pt>
                <c:pt idx="7">
                  <c:v>501572.52382522239</c:v>
                </c:pt>
                <c:pt idx="8">
                  <c:v>501572.52382522239</c:v>
                </c:pt>
                <c:pt idx="9">
                  <c:v>501572.52382522239</c:v>
                </c:pt>
                <c:pt idx="10">
                  <c:v>501572.52382522239</c:v>
                </c:pt>
                <c:pt idx="11">
                  <c:v>501572.52382522239</c:v>
                </c:pt>
              </c:numCache>
            </c:numRef>
          </c:val>
        </c:ser>
        <c:marker val="1"/>
        <c:axId val="101686272"/>
        <c:axId val="101716736"/>
      </c:lineChart>
      <c:lineChart>
        <c:grouping val="standard"/>
        <c:ser>
          <c:idx val="1"/>
          <c:order val="1"/>
          <c:tx>
            <c:strRef>
              <c:f>'[grafik daerah_Icha_8Des.xlsx]Grafik 3.11'!$N$41</c:f>
              <c:strCache>
                <c:ptCount val="1"/>
                <c:pt idx="0">
                  <c:v>Ratio of Per Capita DBH to Revenue</c:v>
                </c:pt>
              </c:strCache>
            </c:strRef>
          </c:tx>
          <c:spPr>
            <a:ln>
              <a:noFill/>
            </a:ln>
          </c:spPr>
          <c:marker>
            <c:symbol val="diamond"/>
            <c:size val="7"/>
            <c:spPr>
              <a:solidFill>
                <a:srgbClr val="FFC000"/>
              </a:solidFill>
            </c:spPr>
          </c:marker>
          <c:cat>
            <c:multiLvlStrRef>
              <c:f>'[grafik daerah_Icha_8Des.xlsx]Grafik 3.11'!$J$42:$K$53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daerah_Icha_8Des.xlsx]Grafik 3.11'!$N$42:$N$53</c:f>
              <c:numCache>
                <c:formatCode>0%</c:formatCode>
                <c:ptCount val="12"/>
                <c:pt idx="0">
                  <c:v>0.344417716836595</c:v>
                </c:pt>
                <c:pt idx="1">
                  <c:v>0.40128252067604397</c:v>
                </c:pt>
                <c:pt idx="2">
                  <c:v>0.33134754814269246</c:v>
                </c:pt>
                <c:pt idx="3">
                  <c:v>0.29226151121875232</c:v>
                </c:pt>
                <c:pt idx="4">
                  <c:v>7.1333112181967195E-2</c:v>
                </c:pt>
                <c:pt idx="5">
                  <c:v>7.6391198397945906E-2</c:v>
                </c:pt>
                <c:pt idx="6">
                  <c:v>6.9933876389548788E-2</c:v>
                </c:pt>
                <c:pt idx="7">
                  <c:v>4.9517009096468834E-2</c:v>
                </c:pt>
                <c:pt idx="8">
                  <c:v>0.57957260345295958</c:v>
                </c:pt>
                <c:pt idx="9">
                  <c:v>0.607105785748566</c:v>
                </c:pt>
                <c:pt idx="10">
                  <c:v>0.53019054297090951</c:v>
                </c:pt>
                <c:pt idx="11">
                  <c:v>0.47099303220961902</c:v>
                </c:pt>
              </c:numCache>
            </c:numRef>
          </c:val>
          <c:smooth val="1"/>
        </c:ser>
        <c:ser>
          <c:idx val="3"/>
          <c:order val="3"/>
          <c:tx>
            <c:strRef>
              <c:f>'[grafik daerah_Icha_8Des.xlsx]Grafik 3.11'!$O$41</c:f>
              <c:strCache>
                <c:ptCount val="1"/>
                <c:pt idx="0">
                  <c:v>Per Capita DBH Ratio</c:v>
                </c:pt>
              </c:strCache>
            </c:strRef>
          </c:tx>
          <c:spPr>
            <a:ln w="28575">
              <a:solidFill>
                <a:schemeClr val="tx1"/>
              </a:solidFill>
            </a:ln>
          </c:spPr>
          <c:marker>
            <c:symbol val="none"/>
          </c:marker>
          <c:cat>
            <c:multiLvlStrRef>
              <c:f>'[grafik daerah_Icha_8Des.xlsx]Grafik 3.11'!$J$42:$K$53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daerah_Icha_8Des.xlsx]Grafik 3.11'!$O$42:$O$53</c:f>
              <c:numCache>
                <c:formatCode>0%</c:formatCode>
                <c:ptCount val="12"/>
                <c:pt idx="0">
                  <c:v>0.23396071876464997</c:v>
                </c:pt>
                <c:pt idx="1">
                  <c:v>0.23396071876464997</c:v>
                </c:pt>
                <c:pt idx="2">
                  <c:v>0.23396071876464997</c:v>
                </c:pt>
                <c:pt idx="3">
                  <c:v>0.23396071876464997</c:v>
                </c:pt>
                <c:pt idx="4">
                  <c:v>0.23396071876464997</c:v>
                </c:pt>
                <c:pt idx="5">
                  <c:v>0.23396071876464997</c:v>
                </c:pt>
                <c:pt idx="6">
                  <c:v>0.23396071876464997</c:v>
                </c:pt>
                <c:pt idx="7">
                  <c:v>0.23396071876464997</c:v>
                </c:pt>
                <c:pt idx="8">
                  <c:v>0.23396071876464997</c:v>
                </c:pt>
                <c:pt idx="9">
                  <c:v>0.23396071876464997</c:v>
                </c:pt>
                <c:pt idx="10">
                  <c:v>0.23396071876464997</c:v>
                </c:pt>
                <c:pt idx="11">
                  <c:v>0.23396071876464997</c:v>
                </c:pt>
              </c:numCache>
            </c:numRef>
          </c:val>
        </c:ser>
        <c:marker val="1"/>
        <c:axId val="101720064"/>
        <c:axId val="101718272"/>
      </c:lineChart>
      <c:catAx>
        <c:axId val="101686272"/>
        <c:scaling>
          <c:orientation val="minMax"/>
        </c:scaling>
        <c:axPos val="b"/>
        <c:numFmt formatCode="General" sourceLinked="0"/>
        <c:tickLblPos val="nextTo"/>
        <c:crossAx val="101716736"/>
        <c:crosses val="autoZero"/>
        <c:auto val="1"/>
        <c:lblAlgn val="ctr"/>
        <c:lblOffset val="100"/>
      </c:catAx>
      <c:valAx>
        <c:axId val="101716736"/>
        <c:scaling>
          <c:orientation val="minMax"/>
        </c:scaling>
        <c:axPos val="l"/>
        <c:majorGridlines/>
        <c:numFmt formatCode="_(* #,##0_);_(* \(#,##0\);_(* &quot;-&quot;??_);_(@_)" sourceLinked="1"/>
        <c:tickLblPos val="nextTo"/>
        <c:txPr>
          <a:bodyPr rot="0" vert="horz"/>
          <a:lstStyle/>
          <a:p>
            <a:pPr>
              <a:defRPr/>
            </a:pPr>
            <a:endParaRPr lang="en-US"/>
          </a:p>
        </c:txPr>
        <c:crossAx val="101686272"/>
        <c:crosses val="autoZero"/>
        <c:crossBetween val="between"/>
      </c:valAx>
      <c:valAx>
        <c:axId val="101718272"/>
        <c:scaling>
          <c:orientation val="minMax"/>
        </c:scaling>
        <c:axPos val="r"/>
        <c:numFmt formatCode="0%" sourceLinked="1"/>
        <c:tickLblPos val="nextTo"/>
        <c:crossAx val="101720064"/>
        <c:crosses val="max"/>
        <c:crossBetween val="between"/>
      </c:valAx>
      <c:catAx>
        <c:axId val="101720064"/>
        <c:scaling>
          <c:orientation val="minMax"/>
        </c:scaling>
        <c:delete val="1"/>
        <c:axPos val="b"/>
        <c:numFmt formatCode="General" sourceLinked="1"/>
        <c:tickLblPos val="none"/>
        <c:crossAx val="101718272"/>
        <c:crosses val="autoZero"/>
        <c:auto val="1"/>
        <c:lblAlgn val="ctr"/>
        <c:lblOffset val="100"/>
      </c:catAx>
    </c:plotArea>
    <c:legend>
      <c:legendPos val="b"/>
      <c:legendEntry>
        <c:idx val="0"/>
        <c:delete val="1"/>
      </c:legendEntry>
      <c:legendEntry>
        <c:idx val="1"/>
        <c:delete val="1"/>
      </c:legendEntry>
      <c:legendEntry>
        <c:idx val="2"/>
        <c:delete val="1"/>
      </c:legendEntry>
      <c:legendEntry>
        <c:idx val="3"/>
        <c:delete val="1"/>
      </c:legendEntry>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7012422183712"/>
          <c:y val="5.1400554097404495E-2"/>
          <c:w val="0.79988762235045663"/>
          <c:h val="0.475258457276174"/>
        </c:manualLayout>
      </c:layout>
      <c:barChart>
        <c:barDir val="col"/>
        <c:grouping val="clustered"/>
        <c:ser>
          <c:idx val="0"/>
          <c:order val="0"/>
          <c:tx>
            <c:strRef>
              <c:f>'[grafik daerah_Icha_8Des.xlsx]Grafik 3.12'!$L$31</c:f>
              <c:strCache>
                <c:ptCount val="1"/>
                <c:pt idx="0">
                  <c:v>Per Capita DBH (Rp)</c:v>
                </c:pt>
              </c:strCache>
            </c:strRef>
          </c:tx>
          <c:cat>
            <c:multiLvlStrRef>
              <c:f>'[grafik daerah_Icha_8Des.xlsx]Grafik 3.12'!$J$32:$K$55</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daerah_Icha_8Des.xlsx]Grafik 3.12'!$L$32:$L$55</c:f>
              <c:numCache>
                <c:formatCode>_(* #,##0_);_(* \(#,##0\);_(* "-"??_);_(@_)</c:formatCode>
                <c:ptCount val="24"/>
                <c:pt idx="0">
                  <c:v>1985576.32776674</c:v>
                </c:pt>
                <c:pt idx="1">
                  <c:v>3011543.6436156072</c:v>
                </c:pt>
                <c:pt idx="2">
                  <c:v>2932986.8100295877</c:v>
                </c:pt>
                <c:pt idx="3">
                  <c:v>2833438.7380373371</c:v>
                </c:pt>
                <c:pt idx="4">
                  <c:v>629658.91405796504</c:v>
                </c:pt>
                <c:pt idx="5">
                  <c:v>1069893.7763321002</c:v>
                </c:pt>
                <c:pt idx="6">
                  <c:v>962158.18183833163</c:v>
                </c:pt>
                <c:pt idx="7">
                  <c:v>867770.58785641205</c:v>
                </c:pt>
                <c:pt idx="8">
                  <c:v>134569.78958032021</c:v>
                </c:pt>
                <c:pt idx="9">
                  <c:v>182372.36563120678</c:v>
                </c:pt>
                <c:pt idx="10">
                  <c:v>164465.69533263941</c:v>
                </c:pt>
                <c:pt idx="11">
                  <c:v>96451.047865530345</c:v>
                </c:pt>
                <c:pt idx="12">
                  <c:v>66533.478481863771</c:v>
                </c:pt>
                <c:pt idx="13">
                  <c:v>92921.761630813038</c:v>
                </c:pt>
                <c:pt idx="14">
                  <c:v>85972.415311732388</c:v>
                </c:pt>
                <c:pt idx="15">
                  <c:v>84178.558004386636</c:v>
                </c:pt>
                <c:pt idx="16">
                  <c:v>3439996.2926351</c:v>
                </c:pt>
                <c:pt idx="17">
                  <c:v>4401053.8152346313</c:v>
                </c:pt>
                <c:pt idx="18">
                  <c:v>5294756.3429733207</c:v>
                </c:pt>
                <c:pt idx="19">
                  <c:v>3102527.8081184071</c:v>
                </c:pt>
                <c:pt idx="20">
                  <c:v>5192079.8989832206</c:v>
                </c:pt>
                <c:pt idx="21">
                  <c:v>7059142.4065075004</c:v>
                </c:pt>
                <c:pt idx="22">
                  <c:v>7783984.6577115497</c:v>
                </c:pt>
                <c:pt idx="23">
                  <c:v>4248892.3871024735</c:v>
                </c:pt>
              </c:numCache>
            </c:numRef>
          </c:val>
        </c:ser>
        <c:gapWidth val="20"/>
        <c:axId val="89533440"/>
        <c:axId val="101761792"/>
      </c:barChart>
      <c:lineChart>
        <c:grouping val="standard"/>
        <c:ser>
          <c:idx val="2"/>
          <c:order val="2"/>
          <c:tx>
            <c:v>Rerata DBH Perkapita</c:v>
          </c:tx>
          <c:spPr>
            <a:ln>
              <a:solidFill>
                <a:srgbClr val="FF0000"/>
              </a:solidFill>
            </a:ln>
          </c:spPr>
          <c:marker>
            <c:symbol val="none"/>
          </c:marker>
          <c:cat>
            <c:multiLvlStrRef>
              <c:f>'[grafik daerah_Icha_8Des.xlsx]Grafik 3.12'!$J$32:$K$55</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daerah_Icha_8Des.xlsx]Grafik 3.12'!$M$32:$M$55</c:f>
              <c:numCache>
                <c:formatCode>_(* #,##0_);_(* \(#,##0\);_(* "-"??_);_(@_)</c:formatCode>
                <c:ptCount val="24"/>
                <c:pt idx="0">
                  <c:v>268736.82831985102</c:v>
                </c:pt>
                <c:pt idx="1">
                  <c:v>268736.8283198509</c:v>
                </c:pt>
                <c:pt idx="2">
                  <c:v>268736.8283198509</c:v>
                </c:pt>
                <c:pt idx="3">
                  <c:v>268736.8283198509</c:v>
                </c:pt>
                <c:pt idx="4">
                  <c:v>268736.8283198509</c:v>
                </c:pt>
                <c:pt idx="5">
                  <c:v>268736.8283198509</c:v>
                </c:pt>
                <c:pt idx="6">
                  <c:v>268736.8283198509</c:v>
                </c:pt>
                <c:pt idx="7">
                  <c:v>268736.8283198509</c:v>
                </c:pt>
                <c:pt idx="8">
                  <c:v>268736.8283198509</c:v>
                </c:pt>
                <c:pt idx="9">
                  <c:v>268736.8283198509</c:v>
                </c:pt>
                <c:pt idx="10">
                  <c:v>268736.8283198509</c:v>
                </c:pt>
                <c:pt idx="11">
                  <c:v>268736.8283198509</c:v>
                </c:pt>
                <c:pt idx="12">
                  <c:v>268736.8283198509</c:v>
                </c:pt>
                <c:pt idx="13">
                  <c:v>268736.8283198509</c:v>
                </c:pt>
                <c:pt idx="14">
                  <c:v>268736.8283198509</c:v>
                </c:pt>
                <c:pt idx="15">
                  <c:v>268736.8283198509</c:v>
                </c:pt>
                <c:pt idx="16">
                  <c:v>268736.8283198509</c:v>
                </c:pt>
                <c:pt idx="17">
                  <c:v>268736.8283198509</c:v>
                </c:pt>
                <c:pt idx="18">
                  <c:v>268736.8283198509</c:v>
                </c:pt>
                <c:pt idx="19">
                  <c:v>268736.8283198509</c:v>
                </c:pt>
                <c:pt idx="20">
                  <c:v>268736.8283198509</c:v>
                </c:pt>
                <c:pt idx="21">
                  <c:v>268736.8283198509</c:v>
                </c:pt>
                <c:pt idx="22">
                  <c:v>268736.8283198509</c:v>
                </c:pt>
                <c:pt idx="23">
                  <c:v>268736.8283198509</c:v>
                </c:pt>
              </c:numCache>
            </c:numRef>
          </c:val>
        </c:ser>
        <c:marker val="1"/>
        <c:axId val="89533440"/>
        <c:axId val="101761792"/>
      </c:lineChart>
      <c:lineChart>
        <c:grouping val="standard"/>
        <c:ser>
          <c:idx val="1"/>
          <c:order val="1"/>
          <c:tx>
            <c:v>Rasio DBH thd Pendapatan</c:v>
          </c:tx>
          <c:spPr>
            <a:ln>
              <a:noFill/>
            </a:ln>
          </c:spPr>
          <c:marker>
            <c:symbol val="diamond"/>
            <c:size val="7"/>
            <c:spPr>
              <a:solidFill>
                <a:srgbClr val="FFC000"/>
              </a:solidFill>
            </c:spPr>
          </c:marker>
          <c:dLbls>
            <c:dLbl>
              <c:idx val="8"/>
              <c:layout>
                <c:manualLayout>
                  <c:x val="-2.2452797173938201E-2"/>
                  <c:y val="-2.47350213298809E-2"/>
                </c:manualLayout>
              </c:layout>
              <c:dLblPos val="r"/>
              <c:showVal val="1"/>
              <c:extLst>
                <c:ext xmlns:c15="http://schemas.microsoft.com/office/drawing/2012/chart" uri="{CE6537A1-D6FC-4f65-9D91-7224C49458BB}"/>
              </c:extLst>
            </c:dLbl>
            <c:dLbl>
              <c:idx val="9"/>
              <c:layout>
                <c:manualLayout>
                  <c:x val="-2.41299460208983E-2"/>
                  <c:y val="-1.7547240557194498E-2"/>
                </c:manualLayout>
              </c:layout>
              <c:dLblPos val="r"/>
              <c:showVal val="1"/>
              <c:extLst>
                <c:ext xmlns:c15="http://schemas.microsoft.com/office/drawing/2012/chart" uri="{CE6537A1-D6FC-4f65-9D91-7224C49458BB}"/>
              </c:extLst>
            </c:dLbl>
            <c:dLbl>
              <c:idx val="10"/>
              <c:layout>
                <c:manualLayout>
                  <c:x val="-2.077578038594231E-2"/>
                  <c:y val="-3.1922802102567399E-2"/>
                </c:manualLayout>
              </c:layout>
              <c:dLblPos val="r"/>
              <c:showVal val="1"/>
              <c:extLst>
                <c:ext xmlns:c15="http://schemas.microsoft.com/office/drawing/2012/chart" uri="{CE6537A1-D6FC-4f65-9D91-7224C49458BB}"/>
              </c:extLst>
            </c:dLbl>
            <c:dLbl>
              <c:idx val="11"/>
              <c:layout>
                <c:manualLayout>
                  <c:x val="-2.5807094867858506E-2"/>
                  <c:y val="-4.2704473261597022E-2"/>
                </c:manualLayout>
              </c:layout>
              <c:dLblPos val="r"/>
              <c:showVal val="1"/>
              <c:extLst>
                <c:ext xmlns:c15="http://schemas.microsoft.com/office/drawing/2012/chart" uri="{CE6537A1-D6FC-4f65-9D91-7224C49458BB}"/>
              </c:extLst>
            </c:dLbl>
            <c:dLbl>
              <c:idx val="12"/>
              <c:layout>
                <c:manualLayout>
                  <c:x val="-2.5807094867858402E-2"/>
                  <c:y val="-3.5516692488910616E-2"/>
                </c:manualLayout>
              </c:layout>
              <c:dLblPos val="r"/>
              <c:showVal val="1"/>
              <c:extLst>
                <c:ext xmlns:c15="http://schemas.microsoft.com/office/drawing/2012/chart" uri="{CE6537A1-D6FC-4f65-9D91-7224C49458BB}"/>
              </c:extLst>
            </c:dLbl>
            <c:dLbl>
              <c:idx val="13"/>
              <c:layout>
                <c:manualLayout>
                  <c:x val="-2.2452797173938201E-2"/>
                  <c:y val="-3.1922802102567399E-2"/>
                </c:manualLayout>
              </c:layout>
              <c:dLblPos val="r"/>
              <c:showVal val="1"/>
              <c:extLst>
                <c:ext xmlns:c15="http://schemas.microsoft.com/office/drawing/2012/chart" uri="{CE6537A1-D6FC-4f65-9D91-7224C49458BB}"/>
              </c:extLst>
            </c:dLbl>
            <c:dLbl>
              <c:idx val="14"/>
              <c:layout>
                <c:manualLayout>
                  <c:x val="-2.41299460208983E-2"/>
                  <c:y val="-3.1922802102567399E-2"/>
                </c:manualLayout>
              </c:layout>
              <c:dLblPos val="r"/>
              <c:showVal val="1"/>
              <c:extLst>
                <c:ext xmlns:c15="http://schemas.microsoft.com/office/drawing/2012/chart" uri="{CE6537A1-D6FC-4f65-9D91-7224C49458BB}"/>
              </c:extLst>
            </c:dLbl>
            <c:dLbl>
              <c:idx val="15"/>
              <c:layout>
                <c:manualLayout>
                  <c:x val="-2.41299460208983E-2"/>
                  <c:y val="-3.5516692488910616E-2"/>
                </c:manualLayout>
              </c:layout>
              <c:dLblPos val="r"/>
              <c:showVal val="1"/>
              <c:extLst>
                <c:ext xmlns:c15="http://schemas.microsoft.com/office/drawing/2012/chart" uri="{CE6537A1-D6FC-4f65-9D91-7224C49458BB}"/>
              </c:extLst>
            </c:dLbl>
            <c:spPr>
              <a:noFill/>
              <a:ln>
                <a:noFill/>
              </a:ln>
              <a:effectLst/>
            </c:spPr>
            <c:txPr>
              <a:bodyPr/>
              <a:lstStyle/>
              <a:p>
                <a:pPr>
                  <a:defRPr lang="id-ID" sz="800"/>
                </a:pPr>
                <a:endParaRPr lang="en-US"/>
              </a:p>
            </c:txPr>
            <c:dLblPos val="t"/>
            <c:showVal val="1"/>
            <c:extLst>
              <c:ext xmlns:c15="http://schemas.microsoft.com/office/drawing/2012/chart" uri="{CE6537A1-D6FC-4f65-9D91-7224C49458BB}">
                <c15:showLeaderLines val="0"/>
              </c:ext>
            </c:extLst>
          </c:dLbls>
          <c:cat>
            <c:multiLvlStrRef>
              <c:f>'[grafik daerah_Icha_8Des.xlsx]Grafik 3.12'!$J$32:$K$55</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daerah_Icha_8Des.xlsx]Grafik 3.12'!$N$32:$N$55</c:f>
              <c:numCache>
                <c:formatCode>0%</c:formatCode>
                <c:ptCount val="24"/>
                <c:pt idx="0">
                  <c:v>0.83019932892731996</c:v>
                </c:pt>
                <c:pt idx="1">
                  <c:v>0.84073589208123578</c:v>
                </c:pt>
                <c:pt idx="2">
                  <c:v>0.74087543626372987</c:v>
                </c:pt>
                <c:pt idx="3">
                  <c:v>0.75177381947541133</c:v>
                </c:pt>
                <c:pt idx="4">
                  <c:v>0.36025542206621874</c:v>
                </c:pt>
                <c:pt idx="5">
                  <c:v>0.51010410153118402</c:v>
                </c:pt>
                <c:pt idx="6">
                  <c:v>0.39907443750291066</c:v>
                </c:pt>
                <c:pt idx="7">
                  <c:v>0.37687465134491493</c:v>
                </c:pt>
                <c:pt idx="8">
                  <c:v>6.5656752284623698E-2</c:v>
                </c:pt>
                <c:pt idx="9">
                  <c:v>8.3470507702837496E-2</c:v>
                </c:pt>
                <c:pt idx="10">
                  <c:v>6.8613159298862705E-2</c:v>
                </c:pt>
                <c:pt idx="11">
                  <c:v>4.3432013984689113E-2</c:v>
                </c:pt>
                <c:pt idx="12">
                  <c:v>6.1376878997317197E-2</c:v>
                </c:pt>
                <c:pt idx="13">
                  <c:v>6.9442452310399402E-2</c:v>
                </c:pt>
                <c:pt idx="14">
                  <c:v>5.62105181252135E-2</c:v>
                </c:pt>
                <c:pt idx="15">
                  <c:v>5.3077431344508708E-2</c:v>
                </c:pt>
                <c:pt idx="16">
                  <c:v>0.45597043755462147</c:v>
                </c:pt>
                <c:pt idx="17">
                  <c:v>0.60670975040598096</c:v>
                </c:pt>
                <c:pt idx="18">
                  <c:v>0.5418372387149275</c:v>
                </c:pt>
                <c:pt idx="19">
                  <c:v>0.44266829742495933</c:v>
                </c:pt>
                <c:pt idx="20">
                  <c:v>0.51510152319481295</c:v>
                </c:pt>
                <c:pt idx="21">
                  <c:v>0.7166858013438826</c:v>
                </c:pt>
                <c:pt idx="22">
                  <c:v>0.65296046968512667</c:v>
                </c:pt>
                <c:pt idx="23">
                  <c:v>0.48713819156733801</c:v>
                </c:pt>
              </c:numCache>
            </c:numRef>
          </c:val>
          <c:smooth val="1"/>
        </c:ser>
        <c:ser>
          <c:idx val="3"/>
          <c:order val="3"/>
          <c:tx>
            <c:v>Rerata Rasio DBH thd Pendapatan</c:v>
          </c:tx>
          <c:spPr>
            <a:ln w="28575">
              <a:solidFill>
                <a:schemeClr val="tx1"/>
              </a:solidFill>
            </a:ln>
          </c:spPr>
          <c:marker>
            <c:symbol val="none"/>
          </c:marker>
          <c:dLbls>
            <c:dLbl>
              <c:idx val="0"/>
              <c:layout>
                <c:manualLayout>
                  <c:x val="-9.4044444444444774E-3"/>
                  <c:y val="0"/>
                </c:manualLayout>
              </c:layout>
              <c:dLblPos val="r"/>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multiLvlStrRef>
              <c:f>'[grafik daerah_Icha_8Des.xlsx]Grafik 3.12'!$J$32:$K$55</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daerah_Icha_8Des.xlsx]Grafik 3.12'!$O$32:$O$55</c:f>
              <c:numCache>
                <c:formatCode>0%</c:formatCode>
                <c:ptCount val="24"/>
                <c:pt idx="0">
                  <c:v>0.16109448168746243</c:v>
                </c:pt>
                <c:pt idx="1">
                  <c:v>0.16109448168746243</c:v>
                </c:pt>
                <c:pt idx="2">
                  <c:v>0.16109448168746243</c:v>
                </c:pt>
                <c:pt idx="3">
                  <c:v>0.16109448168746243</c:v>
                </c:pt>
                <c:pt idx="4">
                  <c:v>0.16109448168746243</c:v>
                </c:pt>
                <c:pt idx="5">
                  <c:v>0.16109448168746243</c:v>
                </c:pt>
                <c:pt idx="6">
                  <c:v>0.16109448168746243</c:v>
                </c:pt>
                <c:pt idx="7">
                  <c:v>0.16109448168746243</c:v>
                </c:pt>
                <c:pt idx="8">
                  <c:v>0.16109448168746243</c:v>
                </c:pt>
                <c:pt idx="9">
                  <c:v>0.16109448168746243</c:v>
                </c:pt>
                <c:pt idx="10">
                  <c:v>0.16109448168746243</c:v>
                </c:pt>
                <c:pt idx="11">
                  <c:v>0.16109448168746243</c:v>
                </c:pt>
                <c:pt idx="12">
                  <c:v>0.16109448168746243</c:v>
                </c:pt>
                <c:pt idx="13">
                  <c:v>0.16109448168746243</c:v>
                </c:pt>
                <c:pt idx="14">
                  <c:v>0.16109448168746243</c:v>
                </c:pt>
                <c:pt idx="15">
                  <c:v>0.16109448168746243</c:v>
                </c:pt>
                <c:pt idx="16">
                  <c:v>0.16109448168746243</c:v>
                </c:pt>
                <c:pt idx="17">
                  <c:v>0.16109448168746243</c:v>
                </c:pt>
                <c:pt idx="18">
                  <c:v>0.16109448168746243</c:v>
                </c:pt>
                <c:pt idx="19">
                  <c:v>0.16109448168746243</c:v>
                </c:pt>
                <c:pt idx="20">
                  <c:v>0.16109448168746243</c:v>
                </c:pt>
                <c:pt idx="21">
                  <c:v>0.16109448168746243</c:v>
                </c:pt>
                <c:pt idx="22">
                  <c:v>0.16109448168746243</c:v>
                </c:pt>
                <c:pt idx="23">
                  <c:v>0.16109448168746243</c:v>
                </c:pt>
              </c:numCache>
            </c:numRef>
          </c:val>
        </c:ser>
        <c:marker val="1"/>
        <c:axId val="101765504"/>
        <c:axId val="101763712"/>
      </c:lineChart>
      <c:catAx>
        <c:axId val="89533440"/>
        <c:scaling>
          <c:orientation val="minMax"/>
        </c:scaling>
        <c:axPos val="b"/>
        <c:numFmt formatCode="General" sourceLinked="0"/>
        <c:tickLblPos val="nextTo"/>
        <c:txPr>
          <a:bodyPr/>
          <a:lstStyle/>
          <a:p>
            <a:pPr>
              <a:defRPr lang="id-ID"/>
            </a:pPr>
            <a:endParaRPr lang="en-US"/>
          </a:p>
        </c:txPr>
        <c:crossAx val="101761792"/>
        <c:crosses val="autoZero"/>
        <c:auto val="1"/>
        <c:lblAlgn val="ctr"/>
        <c:lblOffset val="100"/>
      </c:catAx>
      <c:valAx>
        <c:axId val="101761792"/>
        <c:scaling>
          <c:orientation val="minMax"/>
        </c:scaling>
        <c:axPos val="l"/>
        <c:majorGridlines/>
        <c:numFmt formatCode="_(* #,##0_);_(* \(#,##0\);_(* &quot;-&quot;??_);_(@_)" sourceLinked="1"/>
        <c:tickLblPos val="nextTo"/>
        <c:txPr>
          <a:bodyPr rot="0" vert="horz"/>
          <a:lstStyle/>
          <a:p>
            <a:pPr>
              <a:defRPr lang="id-ID"/>
            </a:pPr>
            <a:endParaRPr lang="en-US"/>
          </a:p>
        </c:txPr>
        <c:crossAx val="89533440"/>
        <c:crosses val="autoZero"/>
        <c:crossBetween val="between"/>
        <c:dispUnits>
          <c:builtInUnit val="millions"/>
          <c:dispUnitsLbl>
            <c:layout>
              <c:manualLayout>
                <c:xMode val="edge"/>
                <c:yMode val="edge"/>
                <c:x val="1.9253910950661798E-2"/>
                <c:y val="5.1400554097404495E-2"/>
              </c:manualLayout>
            </c:layout>
            <c:tx>
              <c:rich>
                <a:bodyPr anchor="t" anchorCtr="1"/>
                <a:lstStyle/>
                <a:p>
                  <a:pPr>
                    <a:defRPr lang="id-ID" b="0"/>
                  </a:pPr>
                  <a:r>
                    <a:rPr lang="en-US" b="0"/>
                    <a:t>Real Per Capita DBH (</a:t>
                  </a:r>
                  <a:r>
                    <a:rPr lang="en-US" b="0" baseline="0"/>
                    <a:t>Rp million)</a:t>
                  </a:r>
                  <a:endParaRPr lang="en-US" b="0"/>
                </a:p>
              </c:rich>
            </c:tx>
          </c:dispUnitsLbl>
        </c:dispUnits>
      </c:valAx>
      <c:valAx>
        <c:axId val="101763712"/>
        <c:scaling>
          <c:orientation val="minMax"/>
        </c:scaling>
        <c:axPos val="r"/>
        <c:numFmt formatCode="0%" sourceLinked="1"/>
        <c:tickLblPos val="nextTo"/>
        <c:txPr>
          <a:bodyPr/>
          <a:lstStyle/>
          <a:p>
            <a:pPr>
              <a:defRPr lang="id-ID"/>
            </a:pPr>
            <a:endParaRPr lang="en-US"/>
          </a:p>
        </c:txPr>
        <c:crossAx val="101765504"/>
        <c:crosses val="max"/>
        <c:crossBetween val="between"/>
      </c:valAx>
      <c:catAx>
        <c:axId val="101765504"/>
        <c:scaling>
          <c:orientation val="minMax"/>
        </c:scaling>
        <c:delete val="1"/>
        <c:axPos val="b"/>
        <c:numFmt formatCode="General" sourceLinked="1"/>
        <c:tickLblPos val="none"/>
        <c:crossAx val="101763712"/>
        <c:crosses val="autoZero"/>
        <c:auto val="1"/>
        <c:lblAlgn val="ctr"/>
        <c:lblOffset val="100"/>
      </c:catAx>
    </c:plotArea>
    <c:legend>
      <c:legendPos val="b"/>
      <c:txPr>
        <a:bodyPr/>
        <a:lstStyle/>
        <a:p>
          <a:pPr>
            <a:defRPr lang="id-ID"/>
          </a:pPr>
          <a:endParaRPr lang="en-US"/>
        </a:p>
      </c:txPr>
    </c:legend>
    <c:plotVisOnly val="1"/>
    <c:dispBlanksAs val="gap"/>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dLbls>
            <c:dLbl>
              <c:idx val="0"/>
              <c:layout>
                <c:manualLayout>
                  <c:x val="-8.8888888888889378E-2"/>
                  <c:y val="0"/>
                </c:manualLayout>
              </c:layout>
              <c:tx>
                <c:rich>
                  <a:bodyPr/>
                  <a:lstStyle/>
                  <a:p>
                    <a:r>
                      <a:rPr lang="en-US"/>
                      <a:t>Musi Banyuasin (1249,5)</a:t>
                    </a:r>
                  </a:p>
                </c:rich>
              </c:tx>
              <c:dLblPos val="t"/>
              <c:showVal val="1"/>
              <c:extLst>
                <c:ext xmlns:c15="http://schemas.microsoft.com/office/drawing/2012/chart" uri="{CE6537A1-D6FC-4f65-9D91-7224C49458BB}"/>
              </c:extLst>
            </c:dLbl>
            <c:dLbl>
              <c:idx val="1"/>
              <c:tx>
                <c:rich>
                  <a:bodyPr/>
                  <a:lstStyle/>
                  <a:p>
                    <a:r>
                      <a:rPr lang="en-US"/>
                      <a:t>Musi</a:t>
                    </a:r>
                    <a:r>
                      <a:rPr lang="en-US" baseline="0"/>
                      <a:t> Rawas (346M)</a:t>
                    </a:r>
                    <a:endParaRPr lang="en-US"/>
                  </a:p>
                </c:rich>
              </c:tx>
              <c:dLblPos val="t"/>
              <c:showVal val="1"/>
              <c:extLst>
                <c:ext xmlns:c15="http://schemas.microsoft.com/office/drawing/2012/chart" uri="{CE6537A1-D6FC-4f65-9D91-7224C49458BB}"/>
              </c:extLst>
            </c:dLbl>
            <c:dLbl>
              <c:idx val="2"/>
              <c:layout>
                <c:manualLayout>
                  <c:x val="4.4444444444444502E-2"/>
                  <c:y val="-1.8518518518518622E-2"/>
                </c:manualLayout>
              </c:layout>
              <c:tx>
                <c:rich>
                  <a:bodyPr/>
                  <a:lstStyle/>
                  <a:p>
                    <a:r>
                      <a:rPr lang="en-US"/>
                      <a:t>Sintang (13,5M)</a:t>
                    </a:r>
                  </a:p>
                </c:rich>
              </c:tx>
              <c:dLblPos val="t"/>
              <c:showVal val="1"/>
              <c:extLst>
                <c:ext xmlns:c15="http://schemas.microsoft.com/office/drawing/2012/chart" uri="{CE6537A1-D6FC-4f65-9D91-7224C49458BB}"/>
              </c:extLst>
            </c:dLbl>
            <c:dLbl>
              <c:idx val="3"/>
              <c:layout>
                <c:manualLayout>
                  <c:x val="-5.5555555555555445E-3"/>
                  <c:y val="9.2592592592593281E-3"/>
                </c:manualLayout>
              </c:layout>
              <c:tx>
                <c:rich>
                  <a:bodyPr/>
                  <a:lstStyle/>
                  <a:p>
                    <a:r>
                      <a:rPr lang="en-US"/>
                      <a:t>Kubu</a:t>
                    </a:r>
                    <a:r>
                      <a:rPr lang="en-US" baseline="0"/>
                      <a:t> Raya</a:t>
                    </a:r>
                  </a:p>
                  <a:p>
                    <a:r>
                      <a:rPr lang="en-US" baseline="0"/>
                      <a:t>(3,5 M)</a:t>
                    </a:r>
                    <a:endParaRPr lang="en-US"/>
                  </a:p>
                </c:rich>
              </c:tx>
              <c:dLblPos val="t"/>
              <c:showVal val="1"/>
              <c:extLst>
                <c:ext xmlns:c15="http://schemas.microsoft.com/office/drawing/2012/chart" uri="{CE6537A1-D6FC-4f65-9D91-7224C49458BB}"/>
              </c:extLst>
            </c:dLbl>
            <c:dLbl>
              <c:idx val="4"/>
              <c:tx>
                <c:rich>
                  <a:bodyPr/>
                  <a:lstStyle/>
                  <a:p>
                    <a:r>
                      <a:rPr lang="en-US"/>
                      <a:t>Berau (657,2M)</a:t>
                    </a:r>
                  </a:p>
                </c:rich>
              </c:tx>
              <c:dLblPos val="t"/>
              <c:showVal val="1"/>
              <c:extLst>
                <c:ext xmlns:c15="http://schemas.microsoft.com/office/drawing/2012/chart" uri="{CE6537A1-D6FC-4f65-9D91-7224C49458BB}"/>
              </c:extLst>
            </c:dLbl>
            <c:dLbl>
              <c:idx val="5"/>
              <c:tx>
                <c:rich>
                  <a:bodyPr/>
                  <a:lstStyle/>
                  <a:p>
                    <a:r>
                      <a:rPr lang="en-US"/>
                      <a:t>Bulungan (599,2M)</a:t>
                    </a:r>
                  </a:p>
                </c:rich>
              </c:tx>
              <c:dLblPos val="t"/>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xVal>
            <c:numRef>
              <c:f>'Grafik 3.13'!$D$8:$D$13</c:f>
              <c:numCache>
                <c:formatCode>#,##0.0</c:formatCode>
                <c:ptCount val="6"/>
                <c:pt idx="0">
                  <c:v>20.059999999999999</c:v>
                </c:pt>
                <c:pt idx="1">
                  <c:v>19.38</c:v>
                </c:pt>
                <c:pt idx="2">
                  <c:v>9.76</c:v>
                </c:pt>
                <c:pt idx="3">
                  <c:v>7.14</c:v>
                </c:pt>
                <c:pt idx="4">
                  <c:v>6.6</c:v>
                </c:pt>
                <c:pt idx="5">
                  <c:v>14.57</c:v>
                </c:pt>
              </c:numCache>
            </c:numRef>
          </c:xVal>
          <c:yVal>
            <c:numRef>
              <c:f>'Grafik 3.13'!$E$8:$E$13</c:f>
              <c:numCache>
                <c:formatCode>#,##0.0</c:formatCode>
                <c:ptCount val="6"/>
                <c:pt idx="0">
                  <c:v>1249.5161855030001</c:v>
                </c:pt>
                <c:pt idx="1">
                  <c:v>346.02600184699895</c:v>
                </c:pt>
                <c:pt idx="2">
                  <c:v>13.513331721999998</c:v>
                </c:pt>
                <c:pt idx="3">
                  <c:v>3.5412183859999997</c:v>
                </c:pt>
                <c:pt idx="4">
                  <c:v>657.24070093300054</c:v>
                </c:pt>
                <c:pt idx="5">
                  <c:v>599.24270432000003</c:v>
                </c:pt>
              </c:numCache>
            </c:numRef>
          </c:yVal>
        </c:ser>
        <c:axId val="101771904"/>
        <c:axId val="103179008"/>
      </c:scatterChart>
      <c:valAx>
        <c:axId val="101771904"/>
        <c:scaling>
          <c:orientation val="minMax"/>
        </c:scaling>
        <c:axPos val="b"/>
        <c:title>
          <c:tx>
            <c:rich>
              <a:bodyPr/>
              <a:lstStyle/>
              <a:p>
                <a:pPr>
                  <a:defRPr lang="id-ID"/>
                </a:pPr>
                <a:r>
                  <a:rPr lang="en-US"/>
                  <a:t>Level of Poverty </a:t>
                </a:r>
              </a:p>
              <a:p>
                <a:pPr>
                  <a:defRPr lang="id-ID"/>
                </a:pPr>
                <a:r>
                  <a:rPr lang="en-US"/>
                  <a:t>(%)</a:t>
                </a:r>
              </a:p>
            </c:rich>
          </c:tx>
        </c:title>
        <c:numFmt formatCode="#,##0" sourceLinked="0"/>
        <c:tickLblPos val="nextTo"/>
        <c:txPr>
          <a:bodyPr/>
          <a:lstStyle/>
          <a:p>
            <a:pPr>
              <a:defRPr lang="id-ID"/>
            </a:pPr>
            <a:endParaRPr lang="en-US"/>
          </a:p>
        </c:txPr>
        <c:crossAx val="103179008"/>
        <c:crosses val="autoZero"/>
        <c:crossBetween val="midCat"/>
      </c:valAx>
      <c:valAx>
        <c:axId val="103179008"/>
        <c:scaling>
          <c:orientation val="minMax"/>
        </c:scaling>
        <c:axPos val="l"/>
        <c:majorGridlines/>
        <c:title>
          <c:tx>
            <c:rich>
              <a:bodyPr rot="-5400000" vert="horz"/>
              <a:lstStyle/>
              <a:p>
                <a:pPr>
                  <a:defRPr lang="id-ID"/>
                </a:pPr>
                <a:r>
                  <a:rPr lang="en-US"/>
                  <a:t>DBH SDA Income</a:t>
                </a:r>
                <a:r>
                  <a:rPr lang="en-US" baseline="0"/>
                  <a:t> </a:t>
                </a:r>
                <a:r>
                  <a:rPr lang="en-US"/>
                  <a:t> (Rp billion)</a:t>
                </a:r>
              </a:p>
            </c:rich>
          </c:tx>
        </c:title>
        <c:numFmt formatCode="#,##0" sourceLinked="0"/>
        <c:tickLblPos val="nextTo"/>
        <c:txPr>
          <a:bodyPr/>
          <a:lstStyle/>
          <a:p>
            <a:pPr>
              <a:defRPr lang="id-ID"/>
            </a:pPr>
            <a:endParaRPr lang="en-US"/>
          </a:p>
        </c:txPr>
        <c:crossAx val="101771904"/>
        <c:crosses val="autoZero"/>
        <c:crossBetween val="midCat"/>
      </c:valAx>
    </c:plotArea>
    <c:plotVisOnly val="1"/>
    <c:dispBlanksAs val="gap"/>
  </c:chart>
  <c:txPr>
    <a:bodyPr/>
    <a:lstStyle/>
    <a:p>
      <a:pPr>
        <a:defRPr>
          <a:latin typeface="+mj-lt"/>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 3.14'!$E$15</c:f>
              <c:strCache>
                <c:ptCount val="1"/>
                <c:pt idx="0">
                  <c:v>Regional Spending (Constant Price 2012)</c:v>
                </c:pt>
              </c:strCache>
            </c:strRef>
          </c:tx>
          <c:dLbls>
            <c:numFmt formatCode="#,##0" sourceLinked="0"/>
            <c:spPr>
              <a:noFill/>
              <a:ln>
                <a:noFill/>
              </a:ln>
              <a:effectLst/>
            </c:spPr>
            <c:txPr>
              <a:bodyPr/>
              <a:lstStyle/>
              <a:p>
                <a:pPr>
                  <a:defRPr lang="id-ID" sz="700">
                    <a:solidFill>
                      <a:schemeClr val="bg1"/>
                    </a:solidFill>
                  </a:defRPr>
                </a:pPr>
                <a:endParaRPr lang="en-US"/>
              </a:p>
            </c:txPr>
            <c:dLblPos val="inBase"/>
            <c:showVal val="1"/>
            <c:extLst>
              <c:ext xmlns:c15="http://schemas.microsoft.com/office/drawing/2012/chart" uri="{CE6537A1-D6FC-4f65-9D91-7224C49458BB}">
                <c15:showLeaderLines val="0"/>
              </c:ext>
            </c:extLst>
          </c:dLbls>
          <c:cat>
            <c:multiLvlStrRef>
              <c:f>'Grafik 3.14'!$C$16:$D$27</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3.14'!$E$16:$E$27</c:f>
              <c:numCache>
                <c:formatCode>_(* #,##0_);_(* \(#,##0\);_(* "-"??_);_(@_)</c:formatCode>
                <c:ptCount val="12"/>
                <c:pt idx="0">
                  <c:v>2671.4534432828186</c:v>
                </c:pt>
                <c:pt idx="1">
                  <c:v>3416.4042226712509</c:v>
                </c:pt>
                <c:pt idx="2">
                  <c:v>3911.8888544258089</c:v>
                </c:pt>
                <c:pt idx="3">
                  <c:v>4742.4522720000004</c:v>
                </c:pt>
                <c:pt idx="4">
                  <c:v>1856.4205054277104</c:v>
                </c:pt>
                <c:pt idx="5">
                  <c:v>1869.0917232241259</c:v>
                </c:pt>
                <c:pt idx="6">
                  <c:v>2050.7190449170857</c:v>
                </c:pt>
                <c:pt idx="7">
                  <c:v>2902.4088533149998</c:v>
                </c:pt>
                <c:pt idx="8">
                  <c:v>7198.8622953219656</c:v>
                </c:pt>
                <c:pt idx="9">
                  <c:v>6506.4885393720378</c:v>
                </c:pt>
                <c:pt idx="10">
                  <c:v>8369.6555978015913</c:v>
                </c:pt>
                <c:pt idx="11">
                  <c:v>10502.6131</c:v>
                </c:pt>
              </c:numCache>
            </c:numRef>
          </c:val>
        </c:ser>
        <c:gapWidth val="30"/>
        <c:axId val="103217792"/>
        <c:axId val="107311488"/>
      </c:barChart>
      <c:lineChart>
        <c:grouping val="standard"/>
        <c:ser>
          <c:idx val="1"/>
          <c:order val="1"/>
          <c:tx>
            <c:strRef>
              <c:f>'Grafik 3.14'!$F$15</c:f>
              <c:strCache>
                <c:ptCount val="1"/>
                <c:pt idx="0">
                  <c:v>Growth (%)</c:v>
                </c:pt>
              </c:strCache>
            </c:strRef>
          </c:tx>
          <c:marker>
            <c:symbol val="circle"/>
            <c:size val="7"/>
          </c:marker>
          <c:dLbls>
            <c:spPr>
              <a:solidFill>
                <a:srgbClr val="FFC000"/>
              </a:solidFill>
            </c:spPr>
            <c:txPr>
              <a:bodyPr/>
              <a:lstStyle/>
              <a:p>
                <a:pPr>
                  <a:defRPr lang="id-ID" sz="700">
                    <a:solidFill>
                      <a:sysClr val="windowText" lastClr="000000"/>
                    </a:solidFill>
                  </a:defRPr>
                </a:pPr>
                <a:endParaRPr lang="en-US"/>
              </a:p>
            </c:txPr>
            <c:dLblPos val="t"/>
            <c:showVal val="1"/>
            <c:extLst>
              <c:ext xmlns:c15="http://schemas.microsoft.com/office/drawing/2012/chart" uri="{CE6537A1-D6FC-4f65-9D91-7224C49458BB}">
                <c15:showLeaderLines val="0"/>
              </c:ext>
            </c:extLst>
          </c:dLbls>
          <c:cat>
            <c:multiLvlStrRef>
              <c:f>'Grafik 3.14'!$C$16:$D$27</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3.14'!$F$16:$F$27</c:f>
              <c:numCache>
                <c:formatCode>0.0%</c:formatCode>
                <c:ptCount val="12"/>
                <c:pt idx="1">
                  <c:v>0.27885598428135133</c:v>
                </c:pt>
                <c:pt idx="2">
                  <c:v>0.14503103247166527</c:v>
                </c:pt>
                <c:pt idx="3">
                  <c:v>0.21231774431282827</c:v>
                </c:pt>
                <c:pt idx="5">
                  <c:v>6.8256183118913663E-3</c:v>
                </c:pt>
                <c:pt idx="6">
                  <c:v>9.7174108384397412E-2</c:v>
                </c:pt>
                <c:pt idx="7">
                  <c:v>0.41531277066398348</c:v>
                </c:pt>
                <c:pt idx="9">
                  <c:v>-9.6178219216645586E-2</c:v>
                </c:pt>
                <c:pt idx="10">
                  <c:v>0.28635523557064146</c:v>
                </c:pt>
                <c:pt idx="11">
                  <c:v>0.25484411840777099</c:v>
                </c:pt>
              </c:numCache>
            </c:numRef>
          </c:val>
          <c:smooth val="1"/>
        </c:ser>
        <c:marker val="1"/>
        <c:axId val="107314560"/>
        <c:axId val="107313024"/>
      </c:lineChart>
      <c:catAx>
        <c:axId val="103217792"/>
        <c:scaling>
          <c:orientation val="minMax"/>
        </c:scaling>
        <c:axPos val="b"/>
        <c:numFmt formatCode="General" sourceLinked="0"/>
        <c:tickLblPos val="nextTo"/>
        <c:txPr>
          <a:bodyPr rot="-5400000" vert="horz"/>
          <a:lstStyle/>
          <a:p>
            <a:pPr>
              <a:defRPr lang="id-ID"/>
            </a:pPr>
            <a:endParaRPr lang="en-US"/>
          </a:p>
        </c:txPr>
        <c:crossAx val="107311488"/>
        <c:crosses val="autoZero"/>
        <c:auto val="1"/>
        <c:lblAlgn val="ctr"/>
        <c:lblOffset val="100"/>
      </c:catAx>
      <c:valAx>
        <c:axId val="107311488"/>
        <c:scaling>
          <c:orientation val="minMax"/>
        </c:scaling>
        <c:axPos val="l"/>
        <c:majorGridlines/>
        <c:numFmt formatCode="_(* #,##0_);_(* \(#,##0\);_(* &quot;-&quot;??_);_(@_)" sourceLinked="1"/>
        <c:tickLblPos val="nextTo"/>
        <c:txPr>
          <a:bodyPr/>
          <a:lstStyle/>
          <a:p>
            <a:pPr>
              <a:defRPr lang="id-ID"/>
            </a:pPr>
            <a:endParaRPr lang="en-US"/>
          </a:p>
        </c:txPr>
        <c:crossAx val="103217792"/>
        <c:crosses val="autoZero"/>
        <c:crossBetween val="between"/>
      </c:valAx>
      <c:valAx>
        <c:axId val="107313024"/>
        <c:scaling>
          <c:orientation val="minMax"/>
        </c:scaling>
        <c:axPos val="r"/>
        <c:numFmt formatCode="0%" sourceLinked="0"/>
        <c:tickLblPos val="nextTo"/>
        <c:txPr>
          <a:bodyPr/>
          <a:lstStyle/>
          <a:p>
            <a:pPr>
              <a:defRPr lang="id-ID"/>
            </a:pPr>
            <a:endParaRPr lang="en-US"/>
          </a:p>
        </c:txPr>
        <c:crossAx val="107314560"/>
        <c:crosses val="max"/>
        <c:crossBetween val="between"/>
      </c:valAx>
      <c:catAx>
        <c:axId val="107314560"/>
        <c:scaling>
          <c:orientation val="minMax"/>
        </c:scaling>
        <c:delete val="1"/>
        <c:axPos val="b"/>
        <c:numFmt formatCode="General" sourceLinked="1"/>
        <c:tickLblPos val="none"/>
        <c:crossAx val="107313024"/>
        <c:crosses val="autoZero"/>
        <c:auto val="1"/>
        <c:lblAlgn val="ctr"/>
        <c:lblOffset val="100"/>
      </c:catAx>
    </c:plotArea>
    <c:legend>
      <c:legendPos val="b"/>
      <c:txPr>
        <a:bodyPr/>
        <a:lstStyle/>
        <a:p>
          <a:pPr>
            <a:defRPr lang="id-ID"/>
          </a:pPr>
          <a:endParaRPr lang="en-US"/>
        </a:p>
      </c:txPr>
    </c:legend>
    <c:plotVisOnly val="1"/>
    <c:dispBlanksAs val="gap"/>
  </c:chart>
  <c:txPr>
    <a:bodyPr/>
    <a:lstStyle/>
    <a:p>
      <a:pPr>
        <a:defRPr>
          <a:latin typeface="+mj-lt"/>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 3.15'!$D$10</c:f>
              <c:strCache>
                <c:ptCount val="1"/>
                <c:pt idx="0">
                  <c:v>Regional Spending (Constant Price 2012)</c:v>
                </c:pt>
              </c:strCache>
            </c:strRef>
          </c:tx>
          <c:dLbls>
            <c:spPr>
              <a:noFill/>
              <a:ln>
                <a:noFill/>
              </a:ln>
              <a:effectLst/>
            </c:spPr>
            <c:txPr>
              <a:bodyPr rot="-5400000" vert="horz"/>
              <a:lstStyle/>
              <a:p>
                <a:pPr>
                  <a:defRPr lang="id-ID" sz="800"/>
                </a:pPr>
                <a:endParaRPr lang="en-US"/>
              </a:p>
            </c:txPr>
            <c:dLblPos val="inBase"/>
            <c:showVal val="1"/>
            <c:extLst>
              <c:ext xmlns:c15="http://schemas.microsoft.com/office/drawing/2012/chart" uri="{CE6537A1-D6FC-4f65-9D91-7224C49458BB}">
                <c15:showLeaderLines val="0"/>
              </c:ext>
            </c:extLst>
          </c:dLbls>
          <c:cat>
            <c:multiLvlStrRef>
              <c:f>'Grafik 3.15'!$B$11:$C$34</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 Kubu Raya</c:v>
                  </c:pt>
                  <c:pt idx="16">
                    <c:v>Berau</c:v>
                  </c:pt>
                  <c:pt idx="20">
                    <c:v>Bulungan</c:v>
                  </c:pt>
                </c:lvl>
              </c:multiLvlStrCache>
            </c:multiLvlStrRef>
          </c:cat>
          <c:val>
            <c:numRef>
              <c:f>'Grafik 3.15'!$D$11:$D$34</c:f>
              <c:numCache>
                <c:formatCode>_(* #,##0_);_(* \(#,##0\);_(* "-"??_);_(@_)</c:formatCode>
                <c:ptCount val="24"/>
                <c:pt idx="0">
                  <c:v>1389695.6453581599</c:v>
                </c:pt>
                <c:pt idx="1">
                  <c:v>1612808.4828477814</c:v>
                </c:pt>
                <c:pt idx="2">
                  <c:v>2130204.6984205698</c:v>
                </c:pt>
                <c:pt idx="3">
                  <c:v>2420132.443</c:v>
                </c:pt>
                <c:pt idx="4">
                  <c:v>1052508.8391712015</c:v>
                </c:pt>
                <c:pt idx="5">
                  <c:v>1114748.7207798001</c:v>
                </c:pt>
                <c:pt idx="6">
                  <c:v>1146319.3395713011</c:v>
                </c:pt>
                <c:pt idx="7">
                  <c:v>1232776.9706249996</c:v>
                </c:pt>
                <c:pt idx="8">
                  <c:v>740261.71294602694</c:v>
                </c:pt>
                <c:pt idx="9">
                  <c:v>774403.97842232441</c:v>
                </c:pt>
                <c:pt idx="10">
                  <c:v>816793.29049823631</c:v>
                </c:pt>
                <c:pt idx="11">
                  <c:v>932088.32247760042</c:v>
                </c:pt>
                <c:pt idx="12">
                  <c:v>502566.28021502588</c:v>
                </c:pt>
                <c:pt idx="13">
                  <c:v>671152.59581621143</c:v>
                </c:pt>
                <c:pt idx="14">
                  <c:v>780195.34986135305</c:v>
                </c:pt>
                <c:pt idx="15">
                  <c:v>837272.05334174004</c:v>
                </c:pt>
                <c:pt idx="16">
                  <c:v>1391378.5906808299</c:v>
                </c:pt>
                <c:pt idx="17">
                  <c:v>1463553.4441854998</c:v>
                </c:pt>
                <c:pt idx="18">
                  <c:v>1446857.76885607</c:v>
                </c:pt>
                <c:pt idx="19">
                  <c:v>1690514.5995570011</c:v>
                </c:pt>
                <c:pt idx="20">
                  <c:v>1169175.4283618499</c:v>
                </c:pt>
                <c:pt idx="21">
                  <c:v>1124209.8584438411</c:v>
                </c:pt>
                <c:pt idx="22">
                  <c:v>1064933.2874411501</c:v>
                </c:pt>
                <c:pt idx="23">
                  <c:v>1570476.00000003</c:v>
                </c:pt>
              </c:numCache>
            </c:numRef>
          </c:val>
        </c:ser>
        <c:gapWidth val="30"/>
        <c:axId val="107362560"/>
        <c:axId val="107376640"/>
      </c:barChart>
      <c:lineChart>
        <c:grouping val="standard"/>
        <c:ser>
          <c:idx val="1"/>
          <c:order val="1"/>
          <c:tx>
            <c:strRef>
              <c:f>'Grafik 3.15'!$E$10</c:f>
              <c:strCache>
                <c:ptCount val="1"/>
                <c:pt idx="0">
                  <c:v>Growth</c:v>
                </c:pt>
              </c:strCache>
            </c:strRef>
          </c:tx>
          <c:marker>
            <c:symbol val="circle"/>
            <c:size val="7"/>
          </c:marker>
          <c:dLbls>
            <c:dLbl>
              <c:idx val="1"/>
              <c:dLblPos val="t"/>
              <c:showVal val="1"/>
              <c:extLst>
                <c:ext xmlns:c15="http://schemas.microsoft.com/office/drawing/2012/chart" uri="{CE6537A1-D6FC-4f65-9D91-7224C49458BB}"/>
              </c:extLst>
            </c:dLbl>
            <c:dLbl>
              <c:idx val="2"/>
              <c:dLblPos val="t"/>
              <c:showVal val="1"/>
              <c:extLst>
                <c:ext xmlns:c15="http://schemas.microsoft.com/office/drawing/2012/chart" uri="{CE6537A1-D6FC-4f65-9D91-7224C49458BB}"/>
              </c:extLst>
            </c:dLbl>
            <c:dLbl>
              <c:idx val="3"/>
              <c:dLblPos val="t"/>
              <c:showVal val="1"/>
              <c:extLst>
                <c:ext xmlns:c15="http://schemas.microsoft.com/office/drawing/2012/chart" uri="{CE6537A1-D6FC-4f65-9D91-7224C49458BB}"/>
              </c:extLst>
            </c:dLbl>
            <c:dLbl>
              <c:idx val="5"/>
              <c:dLblPos val="t"/>
              <c:showVal val="1"/>
              <c:extLst>
                <c:ext xmlns:c15="http://schemas.microsoft.com/office/drawing/2012/chart" uri="{CE6537A1-D6FC-4f65-9D91-7224C49458BB}"/>
              </c:extLst>
            </c:dLbl>
            <c:dLbl>
              <c:idx val="6"/>
              <c:dLblPos val="t"/>
              <c:showVal val="1"/>
              <c:extLst>
                <c:ext xmlns:c15="http://schemas.microsoft.com/office/drawing/2012/chart" uri="{CE6537A1-D6FC-4f65-9D91-7224C49458BB}"/>
              </c:extLst>
            </c:dLbl>
            <c:dLbl>
              <c:idx val="7"/>
              <c:dLblPos val="t"/>
              <c:showVal val="1"/>
              <c:extLst>
                <c:ext xmlns:c15="http://schemas.microsoft.com/office/drawing/2012/chart" uri="{CE6537A1-D6FC-4f65-9D91-7224C49458BB}"/>
              </c:extLst>
            </c:dLbl>
            <c:dLbl>
              <c:idx val="9"/>
              <c:dLblPos val="t"/>
              <c:showVal val="1"/>
              <c:extLst>
                <c:ext xmlns:c15="http://schemas.microsoft.com/office/drawing/2012/chart" uri="{CE6537A1-D6FC-4f65-9D91-7224C49458BB}"/>
              </c:extLst>
            </c:dLbl>
            <c:dLbl>
              <c:idx val="10"/>
              <c:dLblPos val="t"/>
              <c:showVal val="1"/>
              <c:extLst>
                <c:ext xmlns:c15="http://schemas.microsoft.com/office/drawing/2012/chart" uri="{CE6537A1-D6FC-4f65-9D91-7224C49458BB}"/>
              </c:extLst>
            </c:dLbl>
            <c:dLbl>
              <c:idx val="11"/>
              <c:dLblPos val="t"/>
              <c:showVal val="1"/>
              <c:extLst>
                <c:ext xmlns:c15="http://schemas.microsoft.com/office/drawing/2012/chart" uri="{CE6537A1-D6FC-4f65-9D91-7224C49458BB}"/>
              </c:extLst>
            </c:dLbl>
            <c:dLbl>
              <c:idx val="13"/>
              <c:dLblPos val="t"/>
              <c:showVal val="1"/>
              <c:extLst>
                <c:ext xmlns:c15="http://schemas.microsoft.com/office/drawing/2012/chart" uri="{CE6537A1-D6FC-4f65-9D91-7224C49458BB}"/>
              </c:extLst>
            </c:dLbl>
            <c:dLbl>
              <c:idx val="14"/>
              <c:dLblPos val="t"/>
              <c:showVal val="1"/>
              <c:extLst>
                <c:ext xmlns:c15="http://schemas.microsoft.com/office/drawing/2012/chart" uri="{CE6537A1-D6FC-4f65-9D91-7224C49458BB}"/>
              </c:extLst>
            </c:dLbl>
            <c:dLbl>
              <c:idx val="15"/>
              <c:dLblPos val="t"/>
              <c:showVal val="1"/>
              <c:extLst>
                <c:ext xmlns:c15="http://schemas.microsoft.com/office/drawing/2012/chart" uri="{CE6537A1-D6FC-4f65-9D91-7224C49458BB}"/>
              </c:extLst>
            </c:dLbl>
            <c:dLbl>
              <c:idx val="17"/>
              <c:dLblPos val="t"/>
              <c:showVal val="1"/>
              <c:extLst>
                <c:ext xmlns:c15="http://schemas.microsoft.com/office/drawing/2012/chart" uri="{CE6537A1-D6FC-4f65-9D91-7224C49458BB}"/>
              </c:extLst>
            </c:dLbl>
            <c:dLbl>
              <c:idx val="18"/>
              <c:dLblPos val="t"/>
              <c:showVal val="1"/>
              <c:extLst>
                <c:ext xmlns:c15="http://schemas.microsoft.com/office/drawing/2012/chart" uri="{CE6537A1-D6FC-4f65-9D91-7224C49458BB}"/>
              </c:extLst>
            </c:dLbl>
            <c:dLbl>
              <c:idx val="19"/>
              <c:dLblPos val="t"/>
              <c:showVal val="1"/>
              <c:extLst>
                <c:ext xmlns:c15="http://schemas.microsoft.com/office/drawing/2012/chart" uri="{CE6537A1-D6FC-4f65-9D91-7224C49458BB}"/>
              </c:extLst>
            </c:dLbl>
            <c:dLbl>
              <c:idx val="21"/>
              <c:layout>
                <c:manualLayout>
                  <c:x val="-3.8765899404315941E-2"/>
                  <c:y val="-9.6112759041555459E-2"/>
                </c:manualLayout>
              </c:layout>
              <c:dLblPos val="r"/>
              <c:showVal val="1"/>
              <c:extLst>
                <c:ext xmlns:c15="http://schemas.microsoft.com/office/drawing/2012/chart" uri="{CE6537A1-D6FC-4f65-9D91-7224C49458BB}"/>
              </c:extLst>
            </c:dLbl>
            <c:dLbl>
              <c:idx val="22"/>
              <c:layout>
                <c:manualLayout>
                  <c:x val="-3.2911386937873939E-2"/>
                  <c:y val="-7.9305031502396733E-2"/>
                </c:manualLayout>
              </c:layout>
              <c:dLblPos val="r"/>
              <c:showVal val="1"/>
              <c:extLst>
                <c:ext xmlns:c15="http://schemas.microsoft.com/office/drawing/2012/chart" uri="{CE6537A1-D6FC-4f65-9D91-7224C49458BB}"/>
              </c:extLst>
            </c:dLbl>
            <c:dLbl>
              <c:idx val="23"/>
              <c:dLblPos val="t"/>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multiLvlStrRef>
              <c:f>'Grafik 3.15'!$B$11:$C$34</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 Kubu Raya</c:v>
                  </c:pt>
                  <c:pt idx="16">
                    <c:v>Berau</c:v>
                  </c:pt>
                  <c:pt idx="20">
                    <c:v>Bulungan</c:v>
                  </c:pt>
                </c:lvl>
              </c:multiLvlStrCache>
            </c:multiLvlStrRef>
          </c:cat>
          <c:val>
            <c:numRef>
              <c:f>'Grafik 3.15'!$E$11:$E$34</c:f>
              <c:numCache>
                <c:formatCode>0%</c:formatCode>
                <c:ptCount val="24"/>
                <c:pt idx="1">
                  <c:v>0.13833808531045416</c:v>
                </c:pt>
                <c:pt idx="2">
                  <c:v>0.24288567946376788</c:v>
                </c:pt>
                <c:pt idx="3">
                  <c:v>0.11979829674942602</c:v>
                </c:pt>
                <c:pt idx="5">
                  <c:v>5.5833104311664897E-2</c:v>
                </c:pt>
                <c:pt idx="6">
                  <c:v>2.7540858556320612E-2</c:v>
                </c:pt>
                <c:pt idx="7">
                  <c:v>7.0132419013204994E-2</c:v>
                </c:pt>
                <c:pt idx="9">
                  <c:v>4.40884427606563E-2</c:v>
                </c:pt>
                <c:pt idx="10">
                  <c:v>5.1897233448202476E-2</c:v>
                </c:pt>
                <c:pt idx="11">
                  <c:v>0.123695393664943</c:v>
                </c:pt>
                <c:pt idx="13">
                  <c:v>0.25118924764965334</c:v>
                </c:pt>
                <c:pt idx="14">
                  <c:v>0.13976339908270427</c:v>
                </c:pt>
                <c:pt idx="15">
                  <c:v>6.8169841872281603E-2</c:v>
                </c:pt>
                <c:pt idx="17">
                  <c:v>4.9314805544962599E-2</c:v>
                </c:pt>
                <c:pt idx="18">
                  <c:v>-1.1539265081065101E-2</c:v>
                </c:pt>
                <c:pt idx="19">
                  <c:v>0.14413175181378388</c:v>
                </c:pt>
                <c:pt idx="21">
                  <c:v>-3.999748764011591E-2</c:v>
                </c:pt>
                <c:pt idx="22">
                  <c:v>-5.5662238847957166E-2</c:v>
                </c:pt>
                <c:pt idx="23">
                  <c:v>0.32190413133270873</c:v>
                </c:pt>
              </c:numCache>
            </c:numRef>
          </c:val>
          <c:smooth val="1"/>
        </c:ser>
        <c:marker val="1"/>
        <c:axId val="107380096"/>
        <c:axId val="107378560"/>
      </c:lineChart>
      <c:catAx>
        <c:axId val="107362560"/>
        <c:scaling>
          <c:orientation val="minMax"/>
        </c:scaling>
        <c:axPos val="b"/>
        <c:numFmt formatCode="General" sourceLinked="0"/>
        <c:tickLblPos val="nextTo"/>
        <c:txPr>
          <a:bodyPr/>
          <a:lstStyle/>
          <a:p>
            <a:pPr>
              <a:defRPr lang="id-ID"/>
            </a:pPr>
            <a:endParaRPr lang="en-US"/>
          </a:p>
        </c:txPr>
        <c:crossAx val="107376640"/>
        <c:crosses val="autoZero"/>
        <c:auto val="1"/>
        <c:lblAlgn val="ctr"/>
        <c:lblOffset val="100"/>
      </c:catAx>
      <c:valAx>
        <c:axId val="107376640"/>
        <c:scaling>
          <c:orientation val="minMax"/>
        </c:scaling>
        <c:axPos val="l"/>
        <c:majorGridlines/>
        <c:numFmt formatCode="#,##0_);\(#,##0\)" sourceLinked="0"/>
        <c:tickLblPos val="nextTo"/>
        <c:txPr>
          <a:bodyPr/>
          <a:lstStyle/>
          <a:p>
            <a:pPr>
              <a:defRPr lang="id-ID"/>
            </a:pPr>
            <a:endParaRPr lang="en-US"/>
          </a:p>
        </c:txPr>
        <c:crossAx val="107362560"/>
        <c:crosses val="autoZero"/>
        <c:crossBetween val="between"/>
        <c:dispUnits>
          <c:builtInUnit val="thousands"/>
          <c:dispUnitsLbl>
            <c:tx>
              <c:rich>
                <a:bodyPr/>
                <a:lstStyle/>
                <a:p>
                  <a:pPr>
                    <a:defRPr lang="id-ID"/>
                  </a:pPr>
                  <a:r>
                    <a:rPr lang="en-US"/>
                    <a:t> Rp</a:t>
                  </a:r>
                  <a:r>
                    <a:rPr lang="en-US" baseline="0"/>
                    <a:t> billion</a:t>
                  </a:r>
                  <a:endParaRPr lang="en-US"/>
                </a:p>
              </c:rich>
            </c:tx>
          </c:dispUnitsLbl>
        </c:dispUnits>
      </c:valAx>
      <c:valAx>
        <c:axId val="107378560"/>
        <c:scaling>
          <c:orientation val="minMax"/>
        </c:scaling>
        <c:axPos val="r"/>
        <c:numFmt formatCode="0%" sourceLinked="0"/>
        <c:tickLblPos val="nextTo"/>
        <c:txPr>
          <a:bodyPr/>
          <a:lstStyle/>
          <a:p>
            <a:pPr>
              <a:defRPr lang="id-ID"/>
            </a:pPr>
            <a:endParaRPr lang="en-US"/>
          </a:p>
        </c:txPr>
        <c:crossAx val="107380096"/>
        <c:crosses val="max"/>
        <c:crossBetween val="between"/>
      </c:valAx>
      <c:catAx>
        <c:axId val="107380096"/>
        <c:scaling>
          <c:orientation val="minMax"/>
        </c:scaling>
        <c:delete val="1"/>
        <c:axPos val="b"/>
        <c:numFmt formatCode="General" sourceLinked="1"/>
        <c:tickLblPos val="none"/>
        <c:crossAx val="107378560"/>
        <c:crosses val="autoZero"/>
        <c:auto val="1"/>
        <c:lblAlgn val="ctr"/>
        <c:lblOffset val="100"/>
      </c:catAx>
    </c:plotArea>
    <c:legend>
      <c:legendPos val="b"/>
      <c:txPr>
        <a:bodyPr/>
        <a:lstStyle/>
        <a:p>
          <a:pPr>
            <a:defRPr lang="id-ID"/>
          </a:pPr>
          <a:endParaRPr lang="en-US"/>
        </a:p>
      </c:txPr>
    </c:legend>
    <c:plotVisOnly val="1"/>
    <c:dispBlanksAs val="gap"/>
  </c:chart>
  <c:txPr>
    <a:bodyPr/>
    <a:lstStyle/>
    <a:p>
      <a:pPr>
        <a:defRPr sz="1000">
          <a:latin typeface="+mj-lt"/>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percentStacked"/>
        <c:ser>
          <c:idx val="0"/>
          <c:order val="0"/>
          <c:tx>
            <c:strRef>
              <c:f>'Grafik 3.16'!$D$6</c:f>
              <c:strCache>
                <c:ptCount val="1"/>
                <c:pt idx="0">
                  <c:v>Civil Servants</c:v>
                </c:pt>
              </c:strCache>
            </c:strRef>
          </c:tx>
          <c:dLbls>
            <c:spPr>
              <a:noFill/>
              <a:ln>
                <a:noFill/>
              </a:ln>
              <a:effectLst/>
            </c:spPr>
            <c:txPr>
              <a:bodyPr/>
              <a:lstStyle/>
              <a:p>
                <a:pPr>
                  <a:defRPr lang="id-ID" sz="7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3.16'!$B$7:$C$30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3.16'!$D$7:$D$30</c:f>
              <c:numCache>
                <c:formatCode>0%</c:formatCode>
                <c:ptCount val="24"/>
                <c:pt idx="0">
                  <c:v>0.30448046381592986</c:v>
                </c:pt>
                <c:pt idx="1">
                  <c:v>0.36598217303857566</c:v>
                </c:pt>
                <c:pt idx="2">
                  <c:v>0.29776415748879476</c:v>
                </c:pt>
                <c:pt idx="3">
                  <c:v>0.28807469285266774</c:v>
                </c:pt>
                <c:pt idx="4">
                  <c:v>0.38603775076785346</c:v>
                </c:pt>
                <c:pt idx="5">
                  <c:v>0.43077349164022433</c:v>
                </c:pt>
                <c:pt idx="6">
                  <c:v>0.41547857949131339</c:v>
                </c:pt>
                <c:pt idx="7">
                  <c:v>0.41328626800977347</c:v>
                </c:pt>
                <c:pt idx="8">
                  <c:v>0.42633879310038753</c:v>
                </c:pt>
                <c:pt idx="9">
                  <c:v>0.461275980775533</c:v>
                </c:pt>
                <c:pt idx="10">
                  <c:v>0.45125717827957101</c:v>
                </c:pt>
                <c:pt idx="11">
                  <c:v>0.41359814276684598</c:v>
                </c:pt>
                <c:pt idx="12">
                  <c:v>0.55142493868294296</c:v>
                </c:pt>
                <c:pt idx="13">
                  <c:v>0.5050028856708535</c:v>
                </c:pt>
                <c:pt idx="14">
                  <c:v>0.4544633897874234</c:v>
                </c:pt>
                <c:pt idx="15">
                  <c:v>0.47250038901306546</c:v>
                </c:pt>
                <c:pt idx="16">
                  <c:v>0.28280470356594767</c:v>
                </c:pt>
                <c:pt idx="17">
                  <c:v>0.30443129357262733</c:v>
                </c:pt>
                <c:pt idx="18">
                  <c:v>0.3149640533556618</c:v>
                </c:pt>
                <c:pt idx="19">
                  <c:v>0.35241606251559132</c:v>
                </c:pt>
                <c:pt idx="20">
                  <c:v>0.25541967824319101</c:v>
                </c:pt>
                <c:pt idx="21">
                  <c:v>0.30431000053177898</c:v>
                </c:pt>
                <c:pt idx="22">
                  <c:v>0.36519612523458334</c:v>
                </c:pt>
                <c:pt idx="23">
                  <c:v>0.36376357207877008</c:v>
                </c:pt>
              </c:numCache>
            </c:numRef>
          </c:val>
        </c:ser>
        <c:ser>
          <c:idx val="1"/>
          <c:order val="1"/>
          <c:tx>
            <c:strRef>
              <c:f>'Grafik 3.16'!$E$6</c:f>
              <c:strCache>
                <c:ptCount val="1"/>
                <c:pt idx="0">
                  <c:v>Goods/Services</c:v>
                </c:pt>
              </c:strCache>
            </c:strRef>
          </c:tx>
          <c:dLbls>
            <c:spPr>
              <a:noFill/>
              <a:ln>
                <a:noFill/>
              </a:ln>
              <a:effectLst/>
            </c:spPr>
            <c:txPr>
              <a:bodyPr/>
              <a:lstStyle/>
              <a:p>
                <a:pPr>
                  <a:defRPr lang="id-ID" sz="7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3.16'!$B$7:$C$30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3.16'!$E$7:$E$30</c:f>
              <c:numCache>
                <c:formatCode>0%</c:formatCode>
                <c:ptCount val="24"/>
                <c:pt idx="0">
                  <c:v>0.18983961265543023</c:v>
                </c:pt>
                <c:pt idx="1">
                  <c:v>0.20925790370487399</c:v>
                </c:pt>
                <c:pt idx="2">
                  <c:v>0.2017530162137168</c:v>
                </c:pt>
                <c:pt idx="3">
                  <c:v>0.20623595655463123</c:v>
                </c:pt>
                <c:pt idx="4">
                  <c:v>0.18266711420764101</c:v>
                </c:pt>
                <c:pt idx="5">
                  <c:v>0.20886094818704723</c:v>
                </c:pt>
                <c:pt idx="6">
                  <c:v>0.26884189682481846</c:v>
                </c:pt>
                <c:pt idx="7">
                  <c:v>0.19207414149450988</c:v>
                </c:pt>
                <c:pt idx="8">
                  <c:v>0.27648117322669546</c:v>
                </c:pt>
                <c:pt idx="9">
                  <c:v>0.24816013527017017</c:v>
                </c:pt>
                <c:pt idx="10">
                  <c:v>0.28580439893276655</c:v>
                </c:pt>
                <c:pt idx="11">
                  <c:v>0.29002539538059346</c:v>
                </c:pt>
                <c:pt idx="12">
                  <c:v>0.13270570961802897</c:v>
                </c:pt>
                <c:pt idx="13">
                  <c:v>0.16266611110682216</c:v>
                </c:pt>
                <c:pt idx="14">
                  <c:v>0.222012217214479</c:v>
                </c:pt>
                <c:pt idx="15">
                  <c:v>0.18673885255093337</c:v>
                </c:pt>
                <c:pt idx="16">
                  <c:v>0.19854357962325184</c:v>
                </c:pt>
                <c:pt idx="17">
                  <c:v>0.16205079887179999</c:v>
                </c:pt>
                <c:pt idx="18">
                  <c:v>0.18211848958328633</c:v>
                </c:pt>
                <c:pt idx="19">
                  <c:v>0.23789462975379597</c:v>
                </c:pt>
                <c:pt idx="20">
                  <c:v>0.19118683164964884</c:v>
                </c:pt>
                <c:pt idx="21">
                  <c:v>0.16512374518487788</c:v>
                </c:pt>
                <c:pt idx="22">
                  <c:v>0.22098665779690499</c:v>
                </c:pt>
                <c:pt idx="23">
                  <c:v>0.18099265519426233</c:v>
                </c:pt>
              </c:numCache>
            </c:numRef>
          </c:val>
        </c:ser>
        <c:ser>
          <c:idx val="2"/>
          <c:order val="2"/>
          <c:tx>
            <c:strRef>
              <c:f>'Grafik 3.16'!$F$6</c:f>
              <c:strCache>
                <c:ptCount val="1"/>
                <c:pt idx="0">
                  <c:v>Capital</c:v>
                </c:pt>
              </c:strCache>
            </c:strRef>
          </c:tx>
          <c:dLbls>
            <c:spPr>
              <a:noFill/>
              <a:ln>
                <a:noFill/>
              </a:ln>
              <a:effectLst/>
            </c:spPr>
            <c:txPr>
              <a:bodyPr/>
              <a:lstStyle/>
              <a:p>
                <a:pPr>
                  <a:defRPr lang="id-ID" sz="7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3.16'!$B$7:$C$30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3.16'!$F$7:$F$30</c:f>
              <c:numCache>
                <c:formatCode>0%</c:formatCode>
                <c:ptCount val="24"/>
                <c:pt idx="0">
                  <c:v>0.432731069495224</c:v>
                </c:pt>
                <c:pt idx="1">
                  <c:v>0.35833027725866973</c:v>
                </c:pt>
                <c:pt idx="2">
                  <c:v>0.42742270362363655</c:v>
                </c:pt>
                <c:pt idx="3">
                  <c:v>0.44562227053662101</c:v>
                </c:pt>
                <c:pt idx="4">
                  <c:v>0.41261301473782802</c:v>
                </c:pt>
                <c:pt idx="5">
                  <c:v>0.30395558637294973</c:v>
                </c:pt>
                <c:pt idx="6">
                  <c:v>0.29612056548231747</c:v>
                </c:pt>
                <c:pt idx="7">
                  <c:v>0.3850425585248794</c:v>
                </c:pt>
                <c:pt idx="8">
                  <c:v>0.20221575843650599</c:v>
                </c:pt>
                <c:pt idx="9">
                  <c:v>0.16405823560080299</c:v>
                </c:pt>
                <c:pt idx="10">
                  <c:v>0.15463997232032517</c:v>
                </c:pt>
                <c:pt idx="11">
                  <c:v>0.20126166794081687</c:v>
                </c:pt>
                <c:pt idx="12">
                  <c:v>0.25935588888650501</c:v>
                </c:pt>
                <c:pt idx="13">
                  <c:v>0.28345409847674502</c:v>
                </c:pt>
                <c:pt idx="14">
                  <c:v>0.27524113131550199</c:v>
                </c:pt>
                <c:pt idx="15">
                  <c:v>0.29624583661191473</c:v>
                </c:pt>
                <c:pt idx="16">
                  <c:v>0.44665352534763902</c:v>
                </c:pt>
                <c:pt idx="17">
                  <c:v>0.44206011624088298</c:v>
                </c:pt>
                <c:pt idx="18">
                  <c:v>0.43179439715764373</c:v>
                </c:pt>
                <c:pt idx="19">
                  <c:v>0.35780960493302433</c:v>
                </c:pt>
                <c:pt idx="20">
                  <c:v>0.50864140760649734</c:v>
                </c:pt>
                <c:pt idx="21">
                  <c:v>0.44485776072124433</c:v>
                </c:pt>
                <c:pt idx="22">
                  <c:v>0.3037597253925004</c:v>
                </c:pt>
                <c:pt idx="23">
                  <c:v>0.38258288456312539</c:v>
                </c:pt>
              </c:numCache>
            </c:numRef>
          </c:val>
        </c:ser>
        <c:ser>
          <c:idx val="3"/>
          <c:order val="3"/>
          <c:tx>
            <c:strRef>
              <c:f>'Grafik 3.16'!$G$6</c:f>
              <c:strCache>
                <c:ptCount val="1"/>
                <c:pt idx="0">
                  <c:v>Other</c:v>
                </c:pt>
              </c:strCache>
            </c:strRef>
          </c:tx>
          <c:dLbls>
            <c:spPr>
              <a:noFill/>
              <a:ln>
                <a:noFill/>
              </a:ln>
              <a:effectLst/>
            </c:spPr>
            <c:txPr>
              <a:bodyPr/>
              <a:lstStyle/>
              <a:p>
                <a:pPr>
                  <a:defRPr lang="id-ID" sz="8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3.16'!$B$7:$C$30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3.16'!$G$7:$G$30</c:f>
              <c:numCache>
                <c:formatCode>0%</c:formatCode>
                <c:ptCount val="24"/>
                <c:pt idx="0">
                  <c:v>7.2948854033415819E-2</c:v>
                </c:pt>
                <c:pt idx="1">
                  <c:v>6.6429645997881703E-2</c:v>
                </c:pt>
                <c:pt idx="2">
                  <c:v>7.3060122673852396E-2</c:v>
                </c:pt>
                <c:pt idx="3">
                  <c:v>6.0067080056081107E-2</c:v>
                </c:pt>
                <c:pt idx="4">
                  <c:v>1.8682120286677938E-2</c:v>
                </c:pt>
                <c:pt idx="5">
                  <c:v>5.6409973799780695E-2</c:v>
                </c:pt>
                <c:pt idx="6">
                  <c:v>1.9558958201551801E-2</c:v>
                </c:pt>
                <c:pt idx="7">
                  <c:v>9.5970319708373105E-3</c:v>
                </c:pt>
                <c:pt idx="8">
                  <c:v>9.4964275236411072E-2</c:v>
                </c:pt>
                <c:pt idx="9">
                  <c:v>0.12650564835349301</c:v>
                </c:pt>
                <c:pt idx="10">
                  <c:v>0.10829845046733813</c:v>
                </c:pt>
                <c:pt idx="11">
                  <c:v>9.5114793911743795E-2</c:v>
                </c:pt>
                <c:pt idx="12">
                  <c:v>5.6513462812523486E-2</c:v>
                </c:pt>
                <c:pt idx="13">
                  <c:v>4.8876904745578834E-2</c:v>
                </c:pt>
                <c:pt idx="14">
                  <c:v>4.8283261682595897E-2</c:v>
                </c:pt>
                <c:pt idx="15">
                  <c:v>4.4514921824086645E-2</c:v>
                </c:pt>
                <c:pt idx="16">
                  <c:v>7.1998191463161498E-2</c:v>
                </c:pt>
                <c:pt idx="17">
                  <c:v>9.1457791314689563E-2</c:v>
                </c:pt>
                <c:pt idx="18">
                  <c:v>7.1123059903409405E-2</c:v>
                </c:pt>
                <c:pt idx="19">
                  <c:v>5.1879702797587503E-2</c:v>
                </c:pt>
                <c:pt idx="20">
                  <c:v>4.4752082500662912E-2</c:v>
                </c:pt>
                <c:pt idx="21">
                  <c:v>8.5708493562099364E-2</c:v>
                </c:pt>
                <c:pt idx="22">
                  <c:v>0.110057491576012</c:v>
                </c:pt>
                <c:pt idx="23">
                  <c:v>7.2660888163842002E-2</c:v>
                </c:pt>
              </c:numCache>
            </c:numRef>
          </c:val>
        </c:ser>
        <c:gapWidth val="25"/>
        <c:overlap val="100"/>
        <c:axId val="107416960"/>
        <c:axId val="107431040"/>
      </c:barChart>
      <c:catAx>
        <c:axId val="107416960"/>
        <c:scaling>
          <c:orientation val="minMax"/>
        </c:scaling>
        <c:axPos val="b"/>
        <c:numFmt formatCode="General" sourceLinked="0"/>
        <c:tickLblPos val="nextTo"/>
        <c:txPr>
          <a:bodyPr/>
          <a:lstStyle/>
          <a:p>
            <a:pPr>
              <a:defRPr lang="id-ID"/>
            </a:pPr>
            <a:endParaRPr lang="en-US"/>
          </a:p>
        </c:txPr>
        <c:crossAx val="107431040"/>
        <c:crosses val="autoZero"/>
        <c:auto val="1"/>
        <c:lblAlgn val="ctr"/>
        <c:lblOffset val="100"/>
      </c:catAx>
      <c:valAx>
        <c:axId val="107431040"/>
        <c:scaling>
          <c:orientation val="minMax"/>
        </c:scaling>
        <c:axPos val="l"/>
        <c:majorGridlines/>
        <c:numFmt formatCode="0%" sourceLinked="1"/>
        <c:tickLblPos val="nextTo"/>
        <c:txPr>
          <a:bodyPr/>
          <a:lstStyle/>
          <a:p>
            <a:pPr>
              <a:defRPr lang="id-ID"/>
            </a:pPr>
            <a:endParaRPr lang="en-US"/>
          </a:p>
        </c:txPr>
        <c:crossAx val="107416960"/>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percentStacked"/>
        <c:ser>
          <c:idx val="0"/>
          <c:order val="0"/>
          <c:tx>
            <c:strRef>
              <c:f>'Grafik 3.17'!$G$6</c:f>
              <c:strCache>
                <c:ptCount val="1"/>
                <c:pt idx="0">
                  <c:v>Civil Servants</c:v>
                </c:pt>
              </c:strCache>
            </c:strRef>
          </c:tx>
          <c:dLbls>
            <c:spPr>
              <a:noFill/>
              <a:ln>
                <a:noFill/>
              </a:ln>
              <a:effectLst/>
            </c:spPr>
            <c:txPr>
              <a:bodyPr/>
              <a:lstStyle/>
              <a:p>
                <a:pPr>
                  <a:defRPr lang="id-ID" sz="8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3.17'!$E$7:$F$18</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3.17'!$G$7:$G$18</c:f>
              <c:numCache>
                <c:formatCode>0.0%</c:formatCode>
                <c:ptCount val="12"/>
                <c:pt idx="0">
                  <c:v>0.31230741414541247</c:v>
                </c:pt>
                <c:pt idx="1">
                  <c:v>0.29497032876817902</c:v>
                </c:pt>
                <c:pt idx="2">
                  <c:v>0.18441609387436847</c:v>
                </c:pt>
                <c:pt idx="3">
                  <c:v>0.15370118161012036</c:v>
                </c:pt>
                <c:pt idx="4">
                  <c:v>0.24024451028443217</c:v>
                </c:pt>
                <c:pt idx="5">
                  <c:v>0.23829109524398501</c:v>
                </c:pt>
                <c:pt idx="6">
                  <c:v>0.23415088308729026</c:v>
                </c:pt>
                <c:pt idx="7">
                  <c:v>0.191309863322257</c:v>
                </c:pt>
                <c:pt idx="8">
                  <c:v>0.12253680156438408</c:v>
                </c:pt>
                <c:pt idx="9">
                  <c:v>0.14837914079663816</c:v>
                </c:pt>
                <c:pt idx="10">
                  <c:v>0.12005897919501692</c:v>
                </c:pt>
                <c:pt idx="11">
                  <c:v>0.12034282660569498</c:v>
                </c:pt>
              </c:numCache>
            </c:numRef>
          </c:val>
        </c:ser>
        <c:ser>
          <c:idx val="1"/>
          <c:order val="1"/>
          <c:tx>
            <c:strRef>
              <c:f>'Grafik 3.17'!$H$6</c:f>
              <c:strCache>
                <c:ptCount val="1"/>
                <c:pt idx="0">
                  <c:v>Goods/Services</c:v>
                </c:pt>
              </c:strCache>
            </c:strRef>
          </c:tx>
          <c:dLbls>
            <c:spPr>
              <a:noFill/>
              <a:ln>
                <a:noFill/>
              </a:ln>
              <a:effectLst/>
            </c:spPr>
            <c:txPr>
              <a:bodyPr/>
              <a:lstStyle/>
              <a:p>
                <a:pPr>
                  <a:defRPr lang="id-ID" sz="8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3.17'!$E$7:$F$18</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3.17'!$H$7:$H$18</c:f>
              <c:numCache>
                <c:formatCode>0.0%</c:formatCode>
                <c:ptCount val="12"/>
                <c:pt idx="0">
                  <c:v>0.149051313624047</c:v>
                </c:pt>
                <c:pt idx="1">
                  <c:v>0.13859862873937601</c:v>
                </c:pt>
                <c:pt idx="2">
                  <c:v>0.14511693405668899</c:v>
                </c:pt>
                <c:pt idx="3">
                  <c:v>0.17513859956775499</c:v>
                </c:pt>
                <c:pt idx="4">
                  <c:v>0.27681381522470166</c:v>
                </c:pt>
                <c:pt idx="5">
                  <c:v>0.28848262177041173</c:v>
                </c:pt>
                <c:pt idx="6">
                  <c:v>0.28588166115713848</c:v>
                </c:pt>
                <c:pt idx="7">
                  <c:v>0.25388343809604108</c:v>
                </c:pt>
                <c:pt idx="8">
                  <c:v>0.11183055097645916</c:v>
                </c:pt>
                <c:pt idx="9">
                  <c:v>0.14444987481504723</c:v>
                </c:pt>
                <c:pt idx="10">
                  <c:v>0.17279936848509236</c:v>
                </c:pt>
                <c:pt idx="11">
                  <c:v>0.21870572123617499</c:v>
                </c:pt>
              </c:numCache>
            </c:numRef>
          </c:val>
        </c:ser>
        <c:ser>
          <c:idx val="2"/>
          <c:order val="2"/>
          <c:tx>
            <c:strRef>
              <c:f>'Grafik 3.17'!$I$6</c:f>
              <c:strCache>
                <c:ptCount val="1"/>
                <c:pt idx="0">
                  <c:v>Capital</c:v>
                </c:pt>
              </c:strCache>
            </c:strRef>
          </c:tx>
          <c:dLbls>
            <c:spPr>
              <a:noFill/>
              <a:ln>
                <a:noFill/>
              </a:ln>
              <a:effectLst/>
            </c:spPr>
            <c:txPr>
              <a:bodyPr/>
              <a:lstStyle/>
              <a:p>
                <a:pPr>
                  <a:defRPr lang="id-ID" sz="8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3.17'!$E$7:$F$18</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3.17'!$I$7:$I$18</c:f>
              <c:numCache>
                <c:formatCode>0.0%</c:formatCode>
                <c:ptCount val="12"/>
                <c:pt idx="0">
                  <c:v>0.27363295097553175</c:v>
                </c:pt>
                <c:pt idx="1">
                  <c:v>0.33236465817882954</c:v>
                </c:pt>
                <c:pt idx="2">
                  <c:v>0.29928961179430147</c:v>
                </c:pt>
                <c:pt idx="3">
                  <c:v>0.21334730680132047</c:v>
                </c:pt>
                <c:pt idx="4">
                  <c:v>0.22402835219415501</c:v>
                </c:pt>
                <c:pt idx="5">
                  <c:v>0.22167745175211501</c:v>
                </c:pt>
                <c:pt idx="6">
                  <c:v>0.21004069455772037</c:v>
                </c:pt>
                <c:pt idx="7">
                  <c:v>0.130760844273035</c:v>
                </c:pt>
                <c:pt idx="8">
                  <c:v>0.295347265284854</c:v>
                </c:pt>
                <c:pt idx="9">
                  <c:v>0.27945435344311575</c:v>
                </c:pt>
                <c:pt idx="10">
                  <c:v>0.21811903682895023</c:v>
                </c:pt>
                <c:pt idx="11">
                  <c:v>0.25574009985191193</c:v>
                </c:pt>
              </c:numCache>
            </c:numRef>
          </c:val>
        </c:ser>
        <c:ser>
          <c:idx val="3"/>
          <c:order val="3"/>
          <c:tx>
            <c:strRef>
              <c:f>'Grafik 3.17'!$J$6</c:f>
              <c:strCache>
                <c:ptCount val="1"/>
                <c:pt idx="0">
                  <c:v>Social Assistance/Grants</c:v>
                </c:pt>
              </c:strCache>
            </c:strRef>
          </c:tx>
          <c:dLbls>
            <c:spPr>
              <a:noFill/>
              <a:ln>
                <a:noFill/>
              </a:ln>
              <a:effectLst/>
            </c:spPr>
            <c:txPr>
              <a:bodyPr/>
              <a:lstStyle/>
              <a:p>
                <a:pPr>
                  <a:defRPr lang="id-ID" sz="8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3.17'!$E$7:$F$18</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3.17'!$J$7:$J$18</c:f>
              <c:numCache>
                <c:formatCode>0.0%</c:formatCode>
                <c:ptCount val="12"/>
                <c:pt idx="0">
                  <c:v>0.10371771029434391</c:v>
                </c:pt>
                <c:pt idx="1">
                  <c:v>4.2050021561555198E-2</c:v>
                </c:pt>
                <c:pt idx="2">
                  <c:v>0.15183765764495788</c:v>
                </c:pt>
                <c:pt idx="3">
                  <c:v>0.24714999156031636</c:v>
                </c:pt>
                <c:pt idx="4">
                  <c:v>3.4738179695296502E-2</c:v>
                </c:pt>
                <c:pt idx="5">
                  <c:v>3.4744060160177101E-2</c:v>
                </c:pt>
                <c:pt idx="6">
                  <c:v>4.4939776843793793E-2</c:v>
                </c:pt>
                <c:pt idx="7">
                  <c:v>0.26100980023360698</c:v>
                </c:pt>
                <c:pt idx="8">
                  <c:v>9.5087157118087295E-2</c:v>
                </c:pt>
                <c:pt idx="9">
                  <c:v>7.77271088172585E-2</c:v>
                </c:pt>
                <c:pt idx="10">
                  <c:v>0.10003231493663013</c:v>
                </c:pt>
                <c:pt idx="11">
                  <c:v>8.1538574433442729E-2</c:v>
                </c:pt>
              </c:numCache>
            </c:numRef>
          </c:val>
        </c:ser>
        <c:ser>
          <c:idx val="4"/>
          <c:order val="4"/>
          <c:tx>
            <c:strRef>
              <c:f>'Grafik 3.17'!$K$6</c:f>
              <c:strCache>
                <c:ptCount val="1"/>
                <c:pt idx="0">
                  <c:v>Financial Assistance</c:v>
                </c:pt>
              </c:strCache>
            </c:strRef>
          </c:tx>
          <c:dLbls>
            <c:spPr>
              <a:noFill/>
              <a:ln>
                <a:noFill/>
              </a:ln>
              <a:effectLst/>
            </c:spPr>
            <c:txPr>
              <a:bodyPr/>
              <a:lstStyle/>
              <a:p>
                <a:pPr>
                  <a:defRPr lang="id-ID" sz="800">
                    <a:solidFill>
                      <a:schemeClr val="bg1"/>
                    </a:solidFill>
                  </a:defRPr>
                </a:pPr>
                <a:endParaRPr lang="en-US"/>
              </a:p>
            </c:txPr>
            <c:dLblPos val="ctr"/>
            <c:showVal val="1"/>
            <c:extLst>
              <c:ext xmlns:c15="http://schemas.microsoft.com/office/drawing/2012/chart" uri="{CE6537A1-D6FC-4f65-9D91-7224C49458BB}">
                <c15:showLeaderLines val="0"/>
              </c:ext>
            </c:extLst>
          </c:dLbls>
          <c:cat>
            <c:multiLvlStrRef>
              <c:f>'Grafik 3.17'!$E$7:$F$18</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3.17'!$K$7:$K$18</c:f>
              <c:numCache>
                <c:formatCode>0.0%</c:formatCode>
                <c:ptCount val="12"/>
                <c:pt idx="0">
                  <c:v>0.16104885223670601</c:v>
                </c:pt>
                <c:pt idx="1">
                  <c:v>0.19182756563806877</c:v>
                </c:pt>
                <c:pt idx="2">
                  <c:v>0.21883901423569099</c:v>
                </c:pt>
                <c:pt idx="3">
                  <c:v>0.20849260910896117</c:v>
                </c:pt>
                <c:pt idx="4">
                  <c:v>0.224132302823979</c:v>
                </c:pt>
                <c:pt idx="5">
                  <c:v>0.21588825074304999</c:v>
                </c:pt>
                <c:pt idx="6">
                  <c:v>0.22498698435405701</c:v>
                </c:pt>
                <c:pt idx="7">
                  <c:v>0.16131334709176026</c:v>
                </c:pt>
                <c:pt idx="8">
                  <c:v>0.37519594665865702</c:v>
                </c:pt>
                <c:pt idx="9">
                  <c:v>0.34998952212794054</c:v>
                </c:pt>
                <c:pt idx="10">
                  <c:v>0.38897009829562573</c:v>
                </c:pt>
                <c:pt idx="11">
                  <c:v>0.32272063387729755</c:v>
                </c:pt>
              </c:numCache>
            </c:numRef>
          </c:val>
        </c:ser>
        <c:ser>
          <c:idx val="5"/>
          <c:order val="5"/>
          <c:tx>
            <c:strRef>
              <c:f>'Grafik 3.17'!$L$6</c:f>
              <c:strCache>
                <c:ptCount val="1"/>
                <c:pt idx="0">
                  <c:v>Other</c:v>
                </c:pt>
              </c:strCache>
            </c:strRef>
          </c:tx>
          <c:cat>
            <c:multiLvlStrRef>
              <c:f>'Grafik 3.17'!$E$7:$F$18</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3.17'!$L$7:$L$18</c:f>
              <c:numCache>
                <c:formatCode>0.0%</c:formatCode>
                <c:ptCount val="12"/>
                <c:pt idx="0">
                  <c:v>2.4175872395870747E-4</c:v>
                </c:pt>
                <c:pt idx="1">
                  <c:v>1.8879711399133535E-4</c:v>
                </c:pt>
                <c:pt idx="2">
                  <c:v>5.0068839399264309E-4</c:v>
                </c:pt>
                <c:pt idx="3">
                  <c:v>2.1703113515276857E-3</c:v>
                </c:pt>
                <c:pt idx="4">
                  <c:v>4.2839777435910307E-5</c:v>
                </c:pt>
                <c:pt idx="5">
                  <c:v>9.1652033026124033E-4</c:v>
                </c:pt>
                <c:pt idx="6">
                  <c:v>0</c:v>
                </c:pt>
                <c:pt idx="7">
                  <c:v>1.7227069833010123E-3</c:v>
                </c:pt>
                <c:pt idx="8">
                  <c:v>2.2783975593965294E-6</c:v>
                </c:pt>
                <c:pt idx="9">
                  <c:v>0</c:v>
                </c:pt>
                <c:pt idx="10">
                  <c:v>2.0202258686152839E-5</c:v>
                </c:pt>
                <c:pt idx="11">
                  <c:v>9.5214399547860755E-4</c:v>
                </c:pt>
              </c:numCache>
            </c:numRef>
          </c:val>
        </c:ser>
        <c:gapWidth val="25"/>
        <c:overlap val="100"/>
        <c:axId val="107504384"/>
        <c:axId val="107505920"/>
      </c:barChart>
      <c:catAx>
        <c:axId val="107504384"/>
        <c:scaling>
          <c:orientation val="minMax"/>
        </c:scaling>
        <c:axPos val="l"/>
        <c:numFmt formatCode="General" sourceLinked="0"/>
        <c:tickLblPos val="nextTo"/>
        <c:txPr>
          <a:bodyPr/>
          <a:lstStyle/>
          <a:p>
            <a:pPr>
              <a:defRPr lang="id-ID"/>
            </a:pPr>
            <a:endParaRPr lang="en-US"/>
          </a:p>
        </c:txPr>
        <c:crossAx val="107505920"/>
        <c:crosses val="autoZero"/>
        <c:auto val="1"/>
        <c:lblAlgn val="ctr"/>
        <c:lblOffset val="100"/>
      </c:catAx>
      <c:valAx>
        <c:axId val="107505920"/>
        <c:scaling>
          <c:orientation val="minMax"/>
        </c:scaling>
        <c:axPos val="b"/>
        <c:majorGridlines/>
        <c:numFmt formatCode="0%" sourceLinked="1"/>
        <c:tickLblPos val="nextTo"/>
        <c:txPr>
          <a:bodyPr/>
          <a:lstStyle/>
          <a:p>
            <a:pPr>
              <a:defRPr lang="id-ID"/>
            </a:pPr>
            <a:endParaRPr lang="en-US"/>
          </a:p>
        </c:txPr>
        <c:crossAx val="107504384"/>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8449918052344803E-2"/>
          <c:y val="3.2448377581121589E-2"/>
          <c:w val="0.89086950569330903"/>
          <c:h val="0.70335168280956095"/>
        </c:manualLayout>
      </c:layout>
      <c:barChart>
        <c:barDir val="col"/>
        <c:grouping val="stacked"/>
        <c:ser>
          <c:idx val="0"/>
          <c:order val="0"/>
          <c:tx>
            <c:strRef>
              <c:f>'Grafik 3.18'!$D$3</c:f>
              <c:strCache>
                <c:ptCount val="1"/>
                <c:pt idx="0">
                  <c:v>Forestry</c:v>
                </c:pt>
              </c:strCache>
            </c:strRef>
          </c:tx>
          <c:spPr>
            <a:solidFill>
              <a:schemeClr val="accent2"/>
            </a:solidFill>
          </c:spPr>
          <c:dLbls>
            <c:spPr>
              <a:noFill/>
              <a:ln>
                <a:noFill/>
              </a:ln>
              <a:effectLst/>
            </c:spPr>
            <c:txPr>
              <a:bodyPr/>
              <a:lstStyle/>
              <a:p>
                <a:pPr>
                  <a:defRPr lang="id-ID" sz="750"/>
                </a:pPr>
                <a:endParaRPr lang="en-US"/>
              </a:p>
            </c:txPr>
            <c:showVal val="1"/>
            <c:extLst>
              <c:ext xmlns:c15="http://schemas.microsoft.com/office/drawing/2012/chart" uri="{CE6537A1-D6FC-4f65-9D91-7224C49458BB}">
                <c15:showLeaderLines val="0"/>
              </c:ext>
            </c:extLst>
          </c:dLbls>
          <c:cat>
            <c:multiLvlStrRef>
              <c:f>'Grafik 3.18'!$B$4:$C$27</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3.18'!$D$4:$D$27</c:f>
              <c:numCache>
                <c:formatCode>0.0%</c:formatCode>
                <c:ptCount val="24"/>
                <c:pt idx="0">
                  <c:v>5.3382202699498362E-3</c:v>
                </c:pt>
                <c:pt idx="1">
                  <c:v>6.9706823551926285E-3</c:v>
                </c:pt>
                <c:pt idx="2">
                  <c:v>4.6850153955625253E-3</c:v>
                </c:pt>
                <c:pt idx="3">
                  <c:v>5.3792911365884389E-3</c:v>
                </c:pt>
                <c:pt idx="4">
                  <c:v>6.9064358040724153E-3</c:v>
                </c:pt>
                <c:pt idx="5">
                  <c:v>6.931037723274038E-3</c:v>
                </c:pt>
                <c:pt idx="6">
                  <c:v>6.911963155000405E-3</c:v>
                </c:pt>
                <c:pt idx="7">
                  <c:v>5.7789307731699264E-3</c:v>
                </c:pt>
                <c:pt idx="8">
                  <c:v>1.6582316611856801E-2</c:v>
                </c:pt>
                <c:pt idx="9">
                  <c:v>2.2998582523390324E-2</c:v>
                </c:pt>
                <c:pt idx="10">
                  <c:v>1.2019392653542096E-2</c:v>
                </c:pt>
                <c:pt idx="11">
                  <c:v>2.45948565357667E-2</c:v>
                </c:pt>
                <c:pt idx="12">
                  <c:v>2.0728387074272402E-2</c:v>
                </c:pt>
                <c:pt idx="13">
                  <c:v>1.3999465863414001E-2</c:v>
                </c:pt>
                <c:pt idx="14">
                  <c:v>1.32884514731263E-2</c:v>
                </c:pt>
                <c:pt idx="15">
                  <c:v>1.7824008746544003E-2</c:v>
                </c:pt>
                <c:pt idx="16">
                  <c:v>4.6948814728140298E-3</c:v>
                </c:pt>
                <c:pt idx="17">
                  <c:v>5.2161455747050701E-3</c:v>
                </c:pt>
                <c:pt idx="18">
                  <c:v>4.9033179144238204E-3</c:v>
                </c:pt>
                <c:pt idx="19">
                  <c:v>5.5316308971324522E-2</c:v>
                </c:pt>
                <c:pt idx="20">
                  <c:v>3.0077274151092811E-3</c:v>
                </c:pt>
                <c:pt idx="21">
                  <c:v>3.8644979357857299E-3</c:v>
                </c:pt>
                <c:pt idx="22">
                  <c:v>5.2796759286840309E-3</c:v>
                </c:pt>
                <c:pt idx="23">
                  <c:v>5.9413697897961193E-3</c:v>
                </c:pt>
              </c:numCache>
            </c:numRef>
          </c:val>
        </c:ser>
        <c:ser>
          <c:idx val="1"/>
          <c:order val="1"/>
          <c:tx>
            <c:strRef>
              <c:f>'Grafik 3.18'!$E$3</c:f>
              <c:strCache>
                <c:ptCount val="1"/>
                <c:pt idx="0">
                  <c:v>Environment</c:v>
                </c:pt>
              </c:strCache>
            </c:strRef>
          </c:tx>
          <c:spPr>
            <a:solidFill>
              <a:srgbClr val="FFC000"/>
            </a:solidFill>
          </c:spPr>
          <c:cat>
            <c:multiLvlStrRef>
              <c:f>'Grafik 3.18'!$B$4:$C$27</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3.18'!$E$4:$E$27</c:f>
              <c:numCache>
                <c:formatCode>0.00%</c:formatCode>
                <c:ptCount val="24"/>
                <c:pt idx="0">
                  <c:v>1.0306187982957401E-2</c:v>
                </c:pt>
                <c:pt idx="1">
                  <c:v>2.0816074571995802E-2</c:v>
                </c:pt>
                <c:pt idx="2">
                  <c:v>1.9368470973325301E-2</c:v>
                </c:pt>
                <c:pt idx="3">
                  <c:v>1.902757290543872E-2</c:v>
                </c:pt>
                <c:pt idx="4" formatCode="0.0%">
                  <c:v>3.4837552046877826E-3</c:v>
                </c:pt>
                <c:pt idx="5" formatCode="0.0%">
                  <c:v>5.0304515823981705E-3</c:v>
                </c:pt>
                <c:pt idx="6" formatCode="0.0%">
                  <c:v>4.2035494986376806E-3</c:v>
                </c:pt>
                <c:pt idx="7" formatCode="0.0%">
                  <c:v>2.30374193197344E-3</c:v>
                </c:pt>
                <c:pt idx="8" formatCode="0.0%">
                  <c:v>1.4153172952072099E-2</c:v>
                </c:pt>
                <c:pt idx="9" formatCode="0.0%">
                  <c:v>2.6960689527573533E-2</c:v>
                </c:pt>
                <c:pt idx="10" formatCode="0.0%">
                  <c:v>1.6141042731051301E-2</c:v>
                </c:pt>
                <c:pt idx="11" formatCode="0.0%">
                  <c:v>3.5057265064905155E-2</c:v>
                </c:pt>
                <c:pt idx="12" formatCode="0.0%">
                  <c:v>4.1515849798580444E-3</c:v>
                </c:pt>
                <c:pt idx="13" formatCode="0.0%">
                  <c:v>1.0935981791492801E-2</c:v>
                </c:pt>
                <c:pt idx="14" formatCode="0.0%">
                  <c:v>1.0809530427268912E-2</c:v>
                </c:pt>
                <c:pt idx="15" formatCode="0.0%">
                  <c:v>5.3256263554995534E-3</c:v>
                </c:pt>
                <c:pt idx="16" formatCode="0.0%">
                  <c:v>4.3760315796925403E-3</c:v>
                </c:pt>
                <c:pt idx="17" formatCode="0.0%">
                  <c:v>4.35521165026642E-3</c:v>
                </c:pt>
                <c:pt idx="18" formatCode="0.0%">
                  <c:v>4.8949135520371286E-3</c:v>
                </c:pt>
                <c:pt idx="19" formatCode="0.0%">
                  <c:v>6.6930429771354895E-3</c:v>
                </c:pt>
                <c:pt idx="20">
                  <c:v>1.3456701274153701E-2</c:v>
                </c:pt>
                <c:pt idx="21">
                  <c:v>1.5691100059689503E-2</c:v>
                </c:pt>
                <c:pt idx="22">
                  <c:v>2.0837311332090328E-2</c:v>
                </c:pt>
                <c:pt idx="23">
                  <c:v>1.6486370961415229E-2</c:v>
                </c:pt>
              </c:numCache>
            </c:numRef>
          </c:val>
        </c:ser>
        <c:ser>
          <c:idx val="2"/>
          <c:order val="2"/>
          <c:tx>
            <c:strRef>
              <c:f>'Grafik 3.18'!$F$3</c:f>
              <c:strCache>
                <c:ptCount val="1"/>
                <c:pt idx="0">
                  <c:v>ESDM</c:v>
                </c:pt>
              </c:strCache>
            </c:strRef>
          </c:tx>
          <c:spPr>
            <a:solidFill>
              <a:srgbClr val="92D050"/>
            </a:solidFill>
          </c:spPr>
          <c:cat>
            <c:multiLvlStrRef>
              <c:f>'Grafik 3.18'!$B$4:$C$27</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3.18'!$F$4:$F$27</c:f>
              <c:numCache>
                <c:formatCode>0.0%</c:formatCode>
                <c:ptCount val="24"/>
                <c:pt idx="0">
                  <c:v>3.8946209417010415E-2</c:v>
                </c:pt>
                <c:pt idx="1">
                  <c:v>1.3888559696817647E-2</c:v>
                </c:pt>
                <c:pt idx="2">
                  <c:v>1.5519724539764801E-2</c:v>
                </c:pt>
                <c:pt idx="3">
                  <c:v>3.3678402285688497E-2</c:v>
                </c:pt>
                <c:pt idx="4">
                  <c:v>3.9954502735779995E-2</c:v>
                </c:pt>
                <c:pt idx="5">
                  <c:v>2.3943108200163227E-2</c:v>
                </c:pt>
                <c:pt idx="6">
                  <c:v>2.33463911009665E-2</c:v>
                </c:pt>
                <c:pt idx="7">
                  <c:v>2.8946088673207998E-2</c:v>
                </c:pt>
                <c:pt idx="8">
                  <c:v>5.6862756710461199E-3</c:v>
                </c:pt>
                <c:pt idx="9">
                  <c:v>5.1609287814200662E-3</c:v>
                </c:pt>
                <c:pt idx="10">
                  <c:v>3.4842164988380811E-3</c:v>
                </c:pt>
                <c:pt idx="11">
                  <c:v>4.6931755655646324E-3</c:v>
                </c:pt>
                <c:pt idx="12">
                  <c:v>3.1136102052560957E-3</c:v>
                </c:pt>
                <c:pt idx="13">
                  <c:v>2.5526370371598E-4</c:v>
                </c:pt>
                <c:pt idx="14">
                  <c:v>6.7043008445635311E-4</c:v>
                </c:pt>
                <c:pt idx="15">
                  <c:v>0</c:v>
                </c:pt>
                <c:pt idx="16">
                  <c:v>9.1167451847283098E-3</c:v>
                </c:pt>
                <c:pt idx="17">
                  <c:v>1.1626554248971332E-2</c:v>
                </c:pt>
                <c:pt idx="18">
                  <c:v>1.00675481701024E-2</c:v>
                </c:pt>
                <c:pt idx="19">
                  <c:v>9.0304511044983007E-3</c:v>
                </c:pt>
                <c:pt idx="20">
                  <c:v>4.5213501343936806E-3</c:v>
                </c:pt>
                <c:pt idx="21">
                  <c:v>2.2705163341844799E-2</c:v>
                </c:pt>
                <c:pt idx="22">
                  <c:v>1.0499001512827E-2</c:v>
                </c:pt>
                <c:pt idx="23">
                  <c:v>3.1080806499430139E-2</c:v>
                </c:pt>
              </c:numCache>
            </c:numRef>
          </c:val>
        </c:ser>
        <c:ser>
          <c:idx val="3"/>
          <c:order val="3"/>
          <c:tx>
            <c:strRef>
              <c:f>'Grafik 3.18'!$G$3</c:f>
              <c:strCache>
                <c:ptCount val="1"/>
                <c:pt idx="0">
                  <c:v>Agriculture</c:v>
                </c:pt>
              </c:strCache>
            </c:strRef>
          </c:tx>
          <c:spPr>
            <a:solidFill>
              <a:srgbClr val="00B050"/>
            </a:solidFill>
          </c:spPr>
          <c:cat>
            <c:multiLvlStrRef>
              <c:f>'Grafik 3.18'!$B$4:$C$27</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3.18'!$G$4:$G$27</c:f>
              <c:numCache>
                <c:formatCode>0.0%</c:formatCode>
                <c:ptCount val="24"/>
                <c:pt idx="0">
                  <c:v>3.3646416415523843E-2</c:v>
                </c:pt>
                <c:pt idx="1">
                  <c:v>3.8453612327292601E-2</c:v>
                </c:pt>
                <c:pt idx="2">
                  <c:v>3.1239630323011153E-2</c:v>
                </c:pt>
                <c:pt idx="3">
                  <c:v>3.6451455892490603E-2</c:v>
                </c:pt>
                <c:pt idx="4">
                  <c:v>4.7232023932678106E-2</c:v>
                </c:pt>
                <c:pt idx="5">
                  <c:v>4.9350048715976598E-2</c:v>
                </c:pt>
                <c:pt idx="6">
                  <c:v>3.8083281131583602E-2</c:v>
                </c:pt>
                <c:pt idx="7">
                  <c:v>2.9969420772249799E-2</c:v>
                </c:pt>
                <c:pt idx="8">
                  <c:v>2.0973896061975437E-2</c:v>
                </c:pt>
                <c:pt idx="9">
                  <c:v>3.0736531856475499E-2</c:v>
                </c:pt>
                <c:pt idx="10">
                  <c:v>2.0908933405725746E-2</c:v>
                </c:pt>
                <c:pt idx="11">
                  <c:v>4.0388923396156733E-2</c:v>
                </c:pt>
                <c:pt idx="12">
                  <c:v>1.3905446174772899E-2</c:v>
                </c:pt>
                <c:pt idx="13">
                  <c:v>3.1191417668982532E-2</c:v>
                </c:pt>
                <c:pt idx="14">
                  <c:v>3.2644323107048297E-2</c:v>
                </c:pt>
                <c:pt idx="15">
                  <c:v>3.6365014536765605E-2</c:v>
                </c:pt>
                <c:pt idx="16">
                  <c:v>2.6445670752606235E-2</c:v>
                </c:pt>
                <c:pt idx="17">
                  <c:v>2.03490117434286E-2</c:v>
                </c:pt>
                <c:pt idx="18">
                  <c:v>1.4951335924629598E-2</c:v>
                </c:pt>
                <c:pt idx="19">
                  <c:v>3.05476111927768E-2</c:v>
                </c:pt>
                <c:pt idx="20">
                  <c:v>1.4634613989934684E-2</c:v>
                </c:pt>
                <c:pt idx="21">
                  <c:v>1.1858098696553803E-2</c:v>
                </c:pt>
                <c:pt idx="22">
                  <c:v>1.4882525890141413E-2</c:v>
                </c:pt>
                <c:pt idx="23">
                  <c:v>1.75978867139641E-2</c:v>
                </c:pt>
              </c:numCache>
            </c:numRef>
          </c:val>
        </c:ser>
        <c:ser>
          <c:idx val="4"/>
          <c:order val="4"/>
          <c:tx>
            <c:strRef>
              <c:f>'Grafik 3.18'!$H$3</c:f>
              <c:strCache>
                <c:ptCount val="1"/>
                <c:pt idx="0">
                  <c:v>Spatial Planning</c:v>
                </c:pt>
              </c:strCache>
            </c:strRef>
          </c:tx>
          <c:spPr>
            <a:solidFill>
              <a:srgbClr val="7030A0"/>
            </a:solidFill>
          </c:spPr>
          <c:cat>
            <c:multiLvlStrRef>
              <c:f>'Grafik 3.18'!$B$4:$C$27</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3.18'!$H$4:$H$27</c:f>
              <c:numCache>
                <c:formatCode>0.0%</c:formatCode>
                <c:ptCount val="24"/>
                <c:pt idx="0">
                  <c:v>0</c:v>
                </c:pt>
                <c:pt idx="1">
                  <c:v>0</c:v>
                </c:pt>
                <c:pt idx="2">
                  <c:v>0</c:v>
                </c:pt>
                <c:pt idx="3">
                  <c:v>0</c:v>
                </c:pt>
                <c:pt idx="4">
                  <c:v>2.5070463013217406E-4</c:v>
                </c:pt>
                <c:pt idx="5">
                  <c:v>2.7343130317608231E-4</c:v>
                </c:pt>
                <c:pt idx="6">
                  <c:v>0</c:v>
                </c:pt>
                <c:pt idx="7">
                  <c:v>7.1789141190017338E-4</c:v>
                </c:pt>
                <c:pt idx="8">
                  <c:v>1.5199952119207413E-3</c:v>
                </c:pt>
                <c:pt idx="9">
                  <c:v>1.5685548609606921E-3</c:v>
                </c:pt>
                <c:pt idx="10">
                  <c:v>8.0921708014376531E-4</c:v>
                </c:pt>
                <c:pt idx="11">
                  <c:v>0</c:v>
                </c:pt>
                <c:pt idx="12">
                  <c:v>0</c:v>
                </c:pt>
                <c:pt idx="13">
                  <c:v>3.6911255552456363E-3</c:v>
                </c:pt>
                <c:pt idx="14">
                  <c:v>1.8694528762561828E-3</c:v>
                </c:pt>
                <c:pt idx="15">
                  <c:v>0</c:v>
                </c:pt>
                <c:pt idx="16">
                  <c:v>0</c:v>
                </c:pt>
                <c:pt idx="17">
                  <c:v>0</c:v>
                </c:pt>
                <c:pt idx="18">
                  <c:v>0</c:v>
                </c:pt>
                <c:pt idx="19">
                  <c:v>1.1180027670244801E-3</c:v>
                </c:pt>
                <c:pt idx="20">
                  <c:v>0</c:v>
                </c:pt>
                <c:pt idx="21">
                  <c:v>0</c:v>
                </c:pt>
                <c:pt idx="22">
                  <c:v>0</c:v>
                </c:pt>
                <c:pt idx="23">
                  <c:v>0</c:v>
                </c:pt>
              </c:numCache>
            </c:numRef>
          </c:val>
        </c:ser>
        <c:gapWidth val="20"/>
        <c:overlap val="100"/>
        <c:axId val="107539456"/>
        <c:axId val="107619072"/>
      </c:barChart>
      <c:catAx>
        <c:axId val="107539456"/>
        <c:scaling>
          <c:orientation val="minMax"/>
        </c:scaling>
        <c:axPos val="b"/>
        <c:numFmt formatCode="General" sourceLinked="0"/>
        <c:tickLblPos val="nextTo"/>
        <c:txPr>
          <a:bodyPr rot="-5400000" vert="horz" anchor="ctr" anchorCtr="0"/>
          <a:lstStyle/>
          <a:p>
            <a:pPr>
              <a:defRPr lang="id-ID" sz="1000"/>
            </a:pPr>
            <a:endParaRPr lang="en-US"/>
          </a:p>
        </c:txPr>
        <c:crossAx val="107619072"/>
        <c:crosses val="autoZero"/>
        <c:auto val="1"/>
        <c:lblAlgn val="ctr"/>
        <c:lblOffset val="100"/>
      </c:catAx>
      <c:valAx>
        <c:axId val="107619072"/>
        <c:scaling>
          <c:orientation val="minMax"/>
        </c:scaling>
        <c:axPos val="l"/>
        <c:majorGridlines/>
        <c:numFmt formatCode="0.0%" sourceLinked="1"/>
        <c:tickLblPos val="nextTo"/>
        <c:txPr>
          <a:bodyPr/>
          <a:lstStyle/>
          <a:p>
            <a:pPr>
              <a:defRPr lang="id-ID"/>
            </a:pPr>
            <a:endParaRPr lang="en-US"/>
          </a:p>
        </c:txPr>
        <c:crossAx val="107539456"/>
        <c:crosses val="autoZero"/>
        <c:crossBetween val="between"/>
      </c:valAx>
    </c:plotArea>
    <c:legend>
      <c:legendPos val="b"/>
      <c:layout>
        <c:manualLayout>
          <c:xMode val="edge"/>
          <c:yMode val="edge"/>
          <c:x val="9.6680182624843167E-2"/>
          <c:y val="0.92078716062751176"/>
          <c:w val="0.80201225454161851"/>
          <c:h val="7.9212839372488256E-2"/>
        </c:manualLayout>
      </c:layout>
      <c:txPr>
        <a:bodyPr/>
        <a:lstStyle/>
        <a:p>
          <a:pPr>
            <a:defRPr lang="id-ID"/>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'Grafik 3.1'!$D$6</c:f>
              <c:strCache>
                <c:ptCount val="1"/>
                <c:pt idx="0">
                  <c:v>PAD</c:v>
                </c:pt>
              </c:strCache>
            </c:strRef>
          </c:tx>
          <c:cat>
            <c:multiLvlStrRef>
              <c:f>'Grafik 3.1'!$B$7:$C$30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3.1'!$D$7:$D$30</c:f>
              <c:numCache>
                <c:formatCode>0%</c:formatCode>
                <c:ptCount val="24"/>
                <c:pt idx="0">
                  <c:v>3.110191849122566E-2</c:v>
                </c:pt>
                <c:pt idx="1">
                  <c:v>3.49298703473956E-2</c:v>
                </c:pt>
                <c:pt idx="2">
                  <c:v>3.7216295613552358E-2</c:v>
                </c:pt>
                <c:pt idx="3">
                  <c:v>4.1599644214967896E-2</c:v>
                </c:pt>
                <c:pt idx="4">
                  <c:v>3.9261141248140098E-2</c:v>
                </c:pt>
                <c:pt idx="5">
                  <c:v>4.2649712235716002E-2</c:v>
                </c:pt>
                <c:pt idx="6">
                  <c:v>5.3135579880237802E-2</c:v>
                </c:pt>
                <c:pt idx="7">
                  <c:v>6.2988846901939219E-2</c:v>
                </c:pt>
                <c:pt idx="8">
                  <c:v>4.4533654667679896E-2</c:v>
                </c:pt>
                <c:pt idx="9">
                  <c:v>4.1844622776493395E-2</c:v>
                </c:pt>
                <c:pt idx="10">
                  <c:v>6.3227507360199456E-2</c:v>
                </c:pt>
                <c:pt idx="11">
                  <c:v>4.3512172174757786E-2</c:v>
                </c:pt>
                <c:pt idx="12">
                  <c:v>2.1791431718731501E-2</c:v>
                </c:pt>
                <c:pt idx="13">
                  <c:v>2.2551552058008701E-2</c:v>
                </c:pt>
                <c:pt idx="14">
                  <c:v>7.4945852261439766E-2</c:v>
                </c:pt>
                <c:pt idx="15">
                  <c:v>7.2121312817581412E-2</c:v>
                </c:pt>
                <c:pt idx="16">
                  <c:v>0.12568831528032201</c:v>
                </c:pt>
                <c:pt idx="17">
                  <c:v>7.8140651331652405E-2</c:v>
                </c:pt>
                <c:pt idx="18">
                  <c:v>9.0642773362162796E-2</c:v>
                </c:pt>
                <c:pt idx="19">
                  <c:v>9.13444183077642E-2</c:v>
                </c:pt>
                <c:pt idx="20">
                  <c:v>8.2653972087622818E-2</c:v>
                </c:pt>
                <c:pt idx="21">
                  <c:v>9.3230202542495158E-2</c:v>
                </c:pt>
                <c:pt idx="22">
                  <c:v>6.4487133822848944E-2</c:v>
                </c:pt>
                <c:pt idx="23">
                  <c:v>5.5781190529847285E-2</c:v>
                </c:pt>
              </c:numCache>
            </c:numRef>
          </c:val>
        </c:ser>
        <c:ser>
          <c:idx val="1"/>
          <c:order val="1"/>
          <c:tx>
            <c:strRef>
              <c:f>'Grafik 3.1'!$E$6</c:f>
              <c:strCache>
                <c:ptCount val="1"/>
                <c:pt idx="0">
                  <c:v>DAPER</c:v>
                </c:pt>
              </c:strCache>
            </c:strRef>
          </c:tx>
          <c:dLbls>
            <c:spPr>
              <a:noFill/>
              <a:ln>
                <a:noFill/>
              </a:ln>
              <a:effectLst/>
            </c:spPr>
            <c:txPr>
              <a:bodyPr/>
              <a:lstStyle/>
              <a:p>
                <a:pPr>
                  <a:defRPr lang="id-ID" sz="600">
                    <a:solidFill>
                      <a:schemeClr val="bg1"/>
                    </a:solidFill>
                  </a:defRPr>
                </a:pPr>
                <a:endParaRPr lang="en-US"/>
              </a:p>
            </c:txPr>
            <c:showVal val="1"/>
            <c:extLst>
              <c:ext xmlns:c15="http://schemas.microsoft.com/office/drawing/2012/chart" uri="{CE6537A1-D6FC-4f65-9D91-7224C49458BB}">
                <c15:showLeaderLines val="0"/>
              </c:ext>
            </c:extLst>
          </c:dLbls>
          <c:cat>
            <c:multiLvlStrRef>
              <c:f>'Grafik 3.1'!$B$7:$C$30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3.1'!$E$7:$E$30</c:f>
              <c:numCache>
                <c:formatCode>0%</c:formatCode>
                <c:ptCount val="24"/>
                <c:pt idx="0">
                  <c:v>0.92845578668836604</c:v>
                </c:pt>
                <c:pt idx="1">
                  <c:v>0.91175130522203851</c:v>
                </c:pt>
                <c:pt idx="2">
                  <c:v>0.90557585172174859</c:v>
                </c:pt>
                <c:pt idx="3">
                  <c:v>0.92389059704586263</c:v>
                </c:pt>
                <c:pt idx="4">
                  <c:v>0.91260532200312694</c:v>
                </c:pt>
                <c:pt idx="5">
                  <c:v>0.89582436982803049</c:v>
                </c:pt>
                <c:pt idx="6">
                  <c:v>0.8288940461154668</c:v>
                </c:pt>
                <c:pt idx="7">
                  <c:v>0.87074170837860221</c:v>
                </c:pt>
                <c:pt idx="8">
                  <c:v>0.89254657222219502</c:v>
                </c:pt>
                <c:pt idx="9">
                  <c:v>0.83451806088993019</c:v>
                </c:pt>
                <c:pt idx="10">
                  <c:v>0.81168454501805798</c:v>
                </c:pt>
                <c:pt idx="11">
                  <c:v>0.93916750750317279</c:v>
                </c:pt>
                <c:pt idx="12">
                  <c:v>0.89358866651482605</c:v>
                </c:pt>
                <c:pt idx="13">
                  <c:v>0.83274544477594203</c:v>
                </c:pt>
                <c:pt idx="14">
                  <c:v>0.76698920464727494</c:v>
                </c:pt>
                <c:pt idx="15">
                  <c:v>0.83289916749580994</c:v>
                </c:pt>
                <c:pt idx="16">
                  <c:v>0.68804785492352694</c:v>
                </c:pt>
                <c:pt idx="17">
                  <c:v>0.75596493693440792</c:v>
                </c:pt>
                <c:pt idx="18">
                  <c:v>0.74560121336164709</c:v>
                </c:pt>
                <c:pt idx="19">
                  <c:v>0.7177393496200728</c:v>
                </c:pt>
                <c:pt idx="20">
                  <c:v>0.70560944325389874</c:v>
                </c:pt>
                <c:pt idx="21">
                  <c:v>0.80099009050301795</c:v>
                </c:pt>
                <c:pt idx="22">
                  <c:v>0.84527480324087134</c:v>
                </c:pt>
                <c:pt idx="23">
                  <c:v>0.78893776002769056</c:v>
                </c:pt>
              </c:numCache>
            </c:numRef>
          </c:val>
        </c:ser>
        <c:ser>
          <c:idx val="2"/>
          <c:order val="2"/>
          <c:tx>
            <c:strRef>
              <c:f>'Grafik 3.1'!$F$6</c:f>
              <c:strCache>
                <c:ptCount val="1"/>
                <c:pt idx="0">
                  <c:v>LPDS</c:v>
                </c:pt>
              </c:strCache>
            </c:strRef>
          </c:tx>
          <c:cat>
            <c:multiLvlStrRef>
              <c:f>'Grafik 3.1'!$B$7:$C$30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3.1'!$F$7:$F$30</c:f>
              <c:numCache>
                <c:formatCode>0%</c:formatCode>
                <c:ptCount val="24"/>
                <c:pt idx="0">
                  <c:v>4.0442294820408606E-2</c:v>
                </c:pt>
                <c:pt idx="1">
                  <c:v>5.331882443056575E-2</c:v>
                </c:pt>
                <c:pt idx="2">
                  <c:v>5.7207852664698765E-2</c:v>
                </c:pt>
                <c:pt idx="3">
                  <c:v>3.450975873917031E-2</c:v>
                </c:pt>
                <c:pt idx="4">
                  <c:v>4.8133536748734003E-2</c:v>
                </c:pt>
                <c:pt idx="5">
                  <c:v>6.1525917936252603E-2</c:v>
                </c:pt>
                <c:pt idx="6">
                  <c:v>0.117970374004296</c:v>
                </c:pt>
                <c:pt idx="7">
                  <c:v>6.6269444719460169E-2</c:v>
                </c:pt>
                <c:pt idx="8">
                  <c:v>6.2919773110124894E-2</c:v>
                </c:pt>
                <c:pt idx="9">
                  <c:v>0.123637316333575</c:v>
                </c:pt>
                <c:pt idx="10">
                  <c:v>0.125087947621742</c:v>
                </c:pt>
                <c:pt idx="11">
                  <c:v>1.7320320322069909E-2</c:v>
                </c:pt>
                <c:pt idx="12">
                  <c:v>8.4619901766442268E-2</c:v>
                </c:pt>
                <c:pt idx="13">
                  <c:v>0.14470300316604923</c:v>
                </c:pt>
                <c:pt idx="14">
                  <c:v>0.15806494309128627</c:v>
                </c:pt>
                <c:pt idx="15">
                  <c:v>9.4979519686609296E-2</c:v>
                </c:pt>
                <c:pt idx="16">
                  <c:v>0.18626382979615216</c:v>
                </c:pt>
                <c:pt idx="17">
                  <c:v>0.16589441173394101</c:v>
                </c:pt>
                <c:pt idx="18">
                  <c:v>0.16375601327619099</c:v>
                </c:pt>
                <c:pt idx="19">
                  <c:v>0.19091623207216443</c:v>
                </c:pt>
                <c:pt idx="20">
                  <c:v>0.21173658465848016</c:v>
                </c:pt>
                <c:pt idx="21">
                  <c:v>0.1057797069544881</c:v>
                </c:pt>
                <c:pt idx="22">
                  <c:v>9.0238062936281283E-2</c:v>
                </c:pt>
                <c:pt idx="23">
                  <c:v>0.15528104944246243</c:v>
                </c:pt>
              </c:numCache>
            </c:numRef>
          </c:val>
        </c:ser>
        <c:gapWidth val="25"/>
        <c:overlap val="100"/>
        <c:axId val="89604480"/>
        <c:axId val="89606016"/>
      </c:barChart>
      <c:catAx>
        <c:axId val="89604480"/>
        <c:scaling>
          <c:orientation val="minMax"/>
        </c:scaling>
        <c:axPos val="b"/>
        <c:numFmt formatCode="General" sourceLinked="0"/>
        <c:tickLblPos val="nextTo"/>
        <c:txPr>
          <a:bodyPr/>
          <a:lstStyle/>
          <a:p>
            <a:pPr>
              <a:defRPr lang="id-ID"/>
            </a:pPr>
            <a:endParaRPr lang="en-US"/>
          </a:p>
        </c:txPr>
        <c:crossAx val="89606016"/>
        <c:crosses val="autoZero"/>
        <c:auto val="1"/>
        <c:lblAlgn val="ctr"/>
        <c:lblOffset val="100"/>
      </c:catAx>
      <c:valAx>
        <c:axId val="89606016"/>
        <c:scaling>
          <c:orientation val="minMax"/>
        </c:scaling>
        <c:axPos val="l"/>
        <c:majorGridlines/>
        <c:numFmt formatCode="0%" sourceLinked="1"/>
        <c:tickLblPos val="nextTo"/>
        <c:txPr>
          <a:bodyPr/>
          <a:lstStyle/>
          <a:p>
            <a:pPr>
              <a:defRPr lang="id-ID"/>
            </a:pPr>
            <a:endParaRPr lang="en-US"/>
          </a:p>
        </c:txPr>
        <c:crossAx val="89604480"/>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395910831563417"/>
          <c:y val="3.2448377581121589E-2"/>
          <c:w val="0.79946364379563706"/>
          <c:h val="0.76142844824400879"/>
        </c:manualLayout>
      </c:layout>
      <c:barChart>
        <c:barDir val="bar"/>
        <c:grouping val="stacked"/>
        <c:ser>
          <c:idx val="0"/>
          <c:order val="0"/>
          <c:tx>
            <c:strRef>
              <c:f>'Grafik 3.19'!$D$71</c:f>
              <c:strCache>
                <c:ptCount val="1"/>
                <c:pt idx="0">
                  <c:v>Forestry</c:v>
                </c:pt>
              </c:strCache>
            </c:strRef>
          </c:tx>
          <c:spPr>
            <a:solidFill>
              <a:schemeClr val="accent2"/>
            </a:solidFill>
          </c:spPr>
          <c:dLbls>
            <c:spPr>
              <a:noFill/>
              <a:ln>
                <a:noFill/>
              </a:ln>
              <a:effectLst/>
            </c:spPr>
            <c:txPr>
              <a:bodyPr/>
              <a:lstStyle/>
              <a:p>
                <a:pPr>
                  <a:defRPr sz="750"/>
                </a:pPr>
                <a:endParaRPr lang="en-US"/>
              </a:p>
            </c:txPr>
            <c:showVal val="1"/>
            <c:extLst>
              <c:ext xmlns:c15="http://schemas.microsoft.com/office/drawing/2012/chart" uri="{CE6537A1-D6FC-4f65-9D91-7224C49458BB}">
                <c15:showLeaderLines val="0"/>
              </c:ext>
            </c:extLst>
          </c:dLbls>
          <c:cat>
            <c:multiLvlStrRef>
              <c:f>'Grafik 3.19'!$B$72:$C$83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3.19'!$D$72:$D$83</c:f>
              <c:numCache>
                <c:formatCode>0.0%</c:formatCode>
                <c:ptCount val="12"/>
                <c:pt idx="0">
                  <c:v>8.1194410094934007E-3</c:v>
                </c:pt>
                <c:pt idx="1">
                  <c:v>4.4076196493377804E-3</c:v>
                </c:pt>
                <c:pt idx="2">
                  <c:v>4.2883582695386413E-3</c:v>
                </c:pt>
                <c:pt idx="3">
                  <c:v>5.1054535947473263E-3</c:v>
                </c:pt>
                <c:pt idx="4">
                  <c:v>4.1766165708695896E-3</c:v>
                </c:pt>
                <c:pt idx="5">
                  <c:v>1.2492710076253698E-2</c:v>
                </c:pt>
                <c:pt idx="6">
                  <c:v>1.0221405893556712E-2</c:v>
                </c:pt>
                <c:pt idx="7">
                  <c:v>7.9828441377364397E-3</c:v>
                </c:pt>
                <c:pt idx="8">
                  <c:v>1.28089397808145E-2</c:v>
                </c:pt>
                <c:pt idx="9">
                  <c:v>1.4067107400656999E-2</c:v>
                </c:pt>
                <c:pt idx="10">
                  <c:v>1.0868622153557101E-2</c:v>
                </c:pt>
                <c:pt idx="11">
                  <c:v>8.4627588537942236E-3</c:v>
                </c:pt>
              </c:numCache>
            </c:numRef>
          </c:val>
        </c:ser>
        <c:ser>
          <c:idx val="1"/>
          <c:order val="1"/>
          <c:tx>
            <c:strRef>
              <c:f>'Grafik 3.19'!$E$71</c:f>
              <c:strCache>
                <c:ptCount val="1"/>
                <c:pt idx="0">
                  <c:v>Environment</c:v>
                </c:pt>
              </c:strCache>
            </c:strRef>
          </c:tx>
          <c:spPr>
            <a:solidFill>
              <a:srgbClr val="FFC000"/>
            </a:solidFill>
          </c:spPr>
          <c:dLbls>
            <c:spPr>
              <a:noFill/>
              <a:ln>
                <a:noFill/>
              </a:ln>
              <a:effectLst/>
            </c:spPr>
            <c:txPr>
              <a:bodyPr/>
              <a:lstStyle/>
              <a:p>
                <a:pPr>
                  <a:defRPr sz="750"/>
                </a:pPr>
                <a:endParaRPr lang="en-US"/>
              </a:p>
            </c:txPr>
            <c:showVal val="1"/>
            <c:extLst>
              <c:ext xmlns:c15="http://schemas.microsoft.com/office/drawing/2012/chart" uri="{CE6537A1-D6FC-4f65-9D91-7224C49458BB}">
                <c15:showLeaderLines val="0"/>
              </c:ext>
            </c:extLst>
          </c:dLbls>
          <c:cat>
            <c:multiLvlStrRef>
              <c:f>'Grafik 3.19'!$B$72:$C$83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3.19'!$E$72:$E$83</c:f>
              <c:numCache>
                <c:formatCode>0.0%</c:formatCode>
                <c:ptCount val="12"/>
                <c:pt idx="0">
                  <c:v>2.80966936785886E-3</c:v>
                </c:pt>
                <c:pt idx="1">
                  <c:v>2.1435385718686457E-3</c:v>
                </c:pt>
                <c:pt idx="2">
                  <c:v>2.072058290383746E-3</c:v>
                </c:pt>
                <c:pt idx="3">
                  <c:v>1.7945161093652928E-3</c:v>
                </c:pt>
                <c:pt idx="4">
                  <c:v>2.9275419574365759E-3</c:v>
                </c:pt>
                <c:pt idx="5">
                  <c:v>3.9490608287299448E-3</c:v>
                </c:pt>
                <c:pt idx="6">
                  <c:v>3.6478584287333543E-3</c:v>
                </c:pt>
                <c:pt idx="7">
                  <c:v>2.8041924867697699E-3</c:v>
                </c:pt>
                <c:pt idx="8">
                  <c:v>3.7763422905013446E-3</c:v>
                </c:pt>
                <c:pt idx="9">
                  <c:v>2.8668751131967372E-3</c:v>
                </c:pt>
                <c:pt idx="10">
                  <c:v>1.8793970065964824E-3</c:v>
                </c:pt>
                <c:pt idx="11">
                  <c:v>2.2427159579933554E-3</c:v>
                </c:pt>
              </c:numCache>
            </c:numRef>
          </c:val>
        </c:ser>
        <c:ser>
          <c:idx val="2"/>
          <c:order val="2"/>
          <c:tx>
            <c:strRef>
              <c:f>'Grafik 3.19'!$F$71</c:f>
              <c:strCache>
                <c:ptCount val="1"/>
                <c:pt idx="0">
                  <c:v>ESDM</c:v>
                </c:pt>
              </c:strCache>
            </c:strRef>
          </c:tx>
          <c:spPr>
            <a:solidFill>
              <a:srgbClr val="92D050"/>
            </a:solidFill>
          </c:spPr>
          <c:dLbls>
            <c:spPr>
              <a:noFill/>
              <a:ln>
                <a:noFill/>
              </a:ln>
              <a:effectLst/>
            </c:spPr>
            <c:txPr>
              <a:bodyPr/>
              <a:lstStyle/>
              <a:p>
                <a:pPr>
                  <a:defRPr sz="750"/>
                </a:pPr>
                <a:endParaRPr lang="en-US"/>
              </a:p>
            </c:txPr>
            <c:showVal val="1"/>
            <c:extLst>
              <c:ext xmlns:c15="http://schemas.microsoft.com/office/drawing/2012/chart" uri="{CE6537A1-D6FC-4f65-9D91-7224C49458BB}">
                <c15:showLeaderLines val="0"/>
              </c:ext>
            </c:extLst>
          </c:dLbls>
          <c:cat>
            <c:multiLvlStrRef>
              <c:f>'Grafik 3.19'!$B$72:$C$83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3.19'!$F$72:$F$83</c:f>
              <c:numCache>
                <c:formatCode>0.0%</c:formatCode>
                <c:ptCount val="12"/>
                <c:pt idx="0">
                  <c:v>6.7564152782119144E-3</c:v>
                </c:pt>
                <c:pt idx="1">
                  <c:v>5.4347571258542594E-3</c:v>
                </c:pt>
                <c:pt idx="2">
                  <c:v>4.3888224388612404E-3</c:v>
                </c:pt>
                <c:pt idx="3">
                  <c:v>4.3768929679172501E-3</c:v>
                </c:pt>
                <c:pt idx="4">
                  <c:v>3.4128376942484198E-3</c:v>
                </c:pt>
                <c:pt idx="5">
                  <c:v>6.2545697380849393E-3</c:v>
                </c:pt>
                <c:pt idx="6">
                  <c:v>4.6244536476941099E-3</c:v>
                </c:pt>
                <c:pt idx="7">
                  <c:v>4.0648197915070204E-3</c:v>
                </c:pt>
                <c:pt idx="8">
                  <c:v>4.7460742974716934E-3</c:v>
                </c:pt>
                <c:pt idx="9">
                  <c:v>4.8581787300602504E-3</c:v>
                </c:pt>
                <c:pt idx="10">
                  <c:v>4.3363053166513999E-3</c:v>
                </c:pt>
                <c:pt idx="11">
                  <c:v>3.11668483722398E-3</c:v>
                </c:pt>
              </c:numCache>
            </c:numRef>
          </c:val>
        </c:ser>
        <c:ser>
          <c:idx val="3"/>
          <c:order val="3"/>
          <c:tx>
            <c:strRef>
              <c:f>'Grafik 3.19'!$G$71</c:f>
              <c:strCache>
                <c:ptCount val="1"/>
                <c:pt idx="0">
                  <c:v>Agriculture</c:v>
                </c:pt>
              </c:strCache>
            </c:strRef>
          </c:tx>
          <c:spPr>
            <a:solidFill>
              <a:srgbClr val="00B050"/>
            </a:solidFill>
          </c:spPr>
          <c:dLbls>
            <c:spPr>
              <a:noFill/>
              <a:ln>
                <a:noFill/>
              </a:ln>
              <a:effectLst/>
            </c:spPr>
            <c:txPr>
              <a:bodyPr/>
              <a:lstStyle/>
              <a:p>
                <a:pPr>
                  <a:defRPr sz="750"/>
                </a:pPr>
                <a:endParaRPr lang="en-US"/>
              </a:p>
            </c:txPr>
            <c:showVal val="1"/>
            <c:extLst>
              <c:ext xmlns:c15="http://schemas.microsoft.com/office/drawing/2012/chart" uri="{CE6537A1-D6FC-4f65-9D91-7224C49458BB}">
                <c15:showLeaderLines val="0"/>
              </c:ext>
            </c:extLst>
          </c:dLbls>
          <c:cat>
            <c:multiLvlStrRef>
              <c:f>'Grafik 3.19'!$B$72:$C$83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3.19'!$G$72:$G$83</c:f>
              <c:numCache>
                <c:formatCode>0.0%</c:formatCode>
                <c:ptCount val="12"/>
                <c:pt idx="0">
                  <c:v>3.0977902624839258E-2</c:v>
                </c:pt>
                <c:pt idx="1">
                  <c:v>2.3045395470590153E-2</c:v>
                </c:pt>
                <c:pt idx="2">
                  <c:v>2.4765747130916699E-2</c:v>
                </c:pt>
                <c:pt idx="3">
                  <c:v>2.2273407288388634E-2</c:v>
                </c:pt>
                <c:pt idx="4">
                  <c:v>4.2444671064252495E-2</c:v>
                </c:pt>
                <c:pt idx="5">
                  <c:v>5.7786859246446984E-2</c:v>
                </c:pt>
                <c:pt idx="6">
                  <c:v>5.8569229128229899E-2</c:v>
                </c:pt>
                <c:pt idx="7">
                  <c:v>6.3981938033265004E-2</c:v>
                </c:pt>
                <c:pt idx="8">
                  <c:v>2.3334292161598501E-2</c:v>
                </c:pt>
                <c:pt idx="9">
                  <c:v>2.6823995043578828E-2</c:v>
                </c:pt>
                <c:pt idx="10">
                  <c:v>2.0038665105359135E-2</c:v>
                </c:pt>
                <c:pt idx="11">
                  <c:v>1.7230077531847802E-2</c:v>
                </c:pt>
              </c:numCache>
            </c:numRef>
          </c:val>
        </c:ser>
        <c:ser>
          <c:idx val="4"/>
          <c:order val="4"/>
          <c:tx>
            <c:strRef>
              <c:f>'Grafik 3.19'!$H$71</c:f>
              <c:strCache>
                <c:ptCount val="1"/>
                <c:pt idx="0">
                  <c:v>Spatial Planning</c:v>
                </c:pt>
              </c:strCache>
            </c:strRef>
          </c:tx>
          <c:spPr>
            <a:solidFill>
              <a:srgbClr val="7030A0"/>
            </a:solidFill>
          </c:spPr>
          <c:dLbls>
            <c:spPr>
              <a:noFill/>
              <a:ln>
                <a:noFill/>
              </a:ln>
              <a:effectLst/>
            </c:spPr>
            <c:txPr>
              <a:bodyPr/>
              <a:lstStyle/>
              <a:p>
                <a:pPr>
                  <a:defRPr sz="750"/>
                </a:pPr>
                <a:endParaRPr lang="en-US"/>
              </a:p>
            </c:txPr>
            <c:showVal val="1"/>
            <c:extLst>
              <c:ext xmlns:c15="http://schemas.microsoft.com/office/drawing/2012/chart" uri="{CE6537A1-D6FC-4f65-9D91-7224C49458BB}">
                <c15:showLeaderLines val="0"/>
              </c:ext>
            </c:extLst>
          </c:dLbls>
          <c:cat>
            <c:multiLvlStrRef>
              <c:f>'Grafik 3.19'!$B$72:$C$83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3.19'!$H$72:$H$83</c:f>
              <c:numCache>
                <c:formatCode>0.0%</c:formatCode>
                <c:ptCount val="12"/>
                <c:pt idx="0">
                  <c:v>0</c:v>
                </c:pt>
                <c:pt idx="1">
                  <c:v>0</c:v>
                </c:pt>
                <c:pt idx="2">
                  <c:v>0</c:v>
                </c:pt>
                <c:pt idx="3">
                  <c:v>0</c:v>
                </c:pt>
                <c:pt idx="4">
                  <c:v>0</c:v>
                </c:pt>
                <c:pt idx="5">
                  <c:v>0</c:v>
                </c:pt>
                <c:pt idx="6">
                  <c:v>0</c:v>
                </c:pt>
                <c:pt idx="7">
                  <c:v>0</c:v>
                </c:pt>
                <c:pt idx="8">
                  <c:v>5.2078699894627105E-4</c:v>
                </c:pt>
                <c:pt idx="9">
                  <c:v>3.5087204233485401E-3</c:v>
                </c:pt>
                <c:pt idx="10">
                  <c:v>1.7514719585062601E-3</c:v>
                </c:pt>
                <c:pt idx="11">
                  <c:v>1.4517339499062413E-3</c:v>
                </c:pt>
              </c:numCache>
            </c:numRef>
          </c:val>
        </c:ser>
        <c:gapWidth val="20"/>
        <c:overlap val="100"/>
        <c:axId val="108338176"/>
        <c:axId val="108368640"/>
      </c:barChart>
      <c:catAx>
        <c:axId val="108338176"/>
        <c:scaling>
          <c:orientation val="minMax"/>
        </c:scaling>
        <c:axPos val="l"/>
        <c:numFmt formatCode="General" sourceLinked="0"/>
        <c:tickLblPos val="nextTo"/>
        <c:txPr>
          <a:bodyPr rot="0" vert="horz" anchor="ctr" anchorCtr="0"/>
          <a:lstStyle/>
          <a:p>
            <a:pPr>
              <a:defRPr sz="1100"/>
            </a:pPr>
            <a:endParaRPr lang="en-US"/>
          </a:p>
        </c:txPr>
        <c:crossAx val="108368640"/>
        <c:crosses val="autoZero"/>
        <c:auto val="1"/>
        <c:lblAlgn val="ctr"/>
        <c:lblOffset val="100"/>
      </c:catAx>
      <c:valAx>
        <c:axId val="108368640"/>
        <c:scaling>
          <c:orientation val="minMax"/>
        </c:scaling>
        <c:axPos val="b"/>
        <c:majorGridlines/>
        <c:numFmt formatCode="0.0%" sourceLinked="1"/>
        <c:tickLblPos val="nextTo"/>
        <c:crossAx val="108338176"/>
        <c:crosses val="autoZero"/>
        <c:crossBetween val="between"/>
      </c:valAx>
    </c:plotArea>
    <c:legend>
      <c:legendPos val="b"/>
      <c:layout>
        <c:manualLayout>
          <c:xMode val="edge"/>
          <c:yMode val="edge"/>
          <c:x val="0.21495382376755801"/>
          <c:y val="0.90996971899360501"/>
          <c:w val="0.5700923524648922"/>
          <c:h val="5.3341927391819401E-2"/>
        </c:manualLayout>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8449918052344803E-2"/>
          <c:y val="3.2448377581121589E-2"/>
          <c:w val="0.89086950569330903"/>
          <c:h val="0.663106728739004"/>
        </c:manualLayout>
      </c:layout>
      <c:barChart>
        <c:barDir val="col"/>
        <c:grouping val="stacked"/>
        <c:ser>
          <c:idx val="1"/>
          <c:order val="1"/>
          <c:tx>
            <c:strRef>
              <c:f>'Grafik 3.20'!$D$6</c:f>
            </c:strRef>
          </c:tx>
          <c:spPr>
            <a:solidFill>
              <a:schemeClr val="accent2"/>
            </a:solidFill>
          </c:spPr>
          <c:cat>
            <c:multiLvlStrRef>
              <c:f>'Grafik 3.20'!$B$7:$C$30</c:f>
            </c:multiLvlStrRef>
          </c:cat>
          <c:val>
            <c:numRef>
              <c:f>'Grafik 3.20'!$D$7:$D$30</c:f>
            </c:numRef>
          </c:val>
        </c:ser>
        <c:ser>
          <c:idx val="0"/>
          <c:order val="0"/>
          <c:tx>
            <c:strRef>
              <c:f>'[grafik daerah_Icha_8Des.xlsx]Grafik 3.20'!$D$6</c:f>
              <c:strCache>
                <c:ptCount val="1"/>
                <c:pt idx="0">
                  <c:v>Forestry</c:v>
                </c:pt>
              </c:strCache>
            </c:strRef>
          </c:tx>
          <c:spPr>
            <a:solidFill>
              <a:schemeClr val="accent2"/>
            </a:solidFill>
          </c:spPr>
          <c:dLbls>
            <c:spPr>
              <a:noFill/>
              <a:ln>
                <a:noFill/>
              </a:ln>
              <a:effectLst/>
            </c:spPr>
            <c:txPr>
              <a:bodyPr/>
              <a:lstStyle/>
              <a:p>
                <a:pPr>
                  <a:defRPr sz="750"/>
                </a:pPr>
                <a:endParaRPr lang="en-US"/>
              </a:p>
            </c:txPr>
            <c:showVal val="1"/>
            <c:extLst>
              <c:ext xmlns:c15="http://schemas.microsoft.com/office/drawing/2012/chart" uri="{CE6537A1-D6FC-4f65-9D91-7224C49458BB}">
                <c15:showLeaderLines val="0"/>
              </c:ext>
            </c:extLst>
          </c:dLbls>
          <c:cat>
            <c:multiLvlStrRef>
              <c:f>'[grafik daerah_Icha_8Des.xlsx]Grafik 3.20'!$B$7:$C$30</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daerah_Icha_8Des.xlsx]Grafik 3.20'!$D$7:$D$30</c:f>
              <c:numCache>
                <c:formatCode>0.0%</c:formatCode>
                <c:ptCount val="24"/>
                <c:pt idx="0">
                  <c:v>5.3382202699498362E-3</c:v>
                </c:pt>
                <c:pt idx="1">
                  <c:v>6.9706823551926285E-3</c:v>
                </c:pt>
                <c:pt idx="2">
                  <c:v>4.6850153955625253E-3</c:v>
                </c:pt>
                <c:pt idx="3">
                  <c:v>5.3792911365884389E-3</c:v>
                </c:pt>
                <c:pt idx="4">
                  <c:v>6.9064358040724153E-3</c:v>
                </c:pt>
                <c:pt idx="5">
                  <c:v>6.931037723274038E-3</c:v>
                </c:pt>
                <c:pt idx="6">
                  <c:v>6.911963155000405E-3</c:v>
                </c:pt>
                <c:pt idx="7">
                  <c:v>5.7789307731699264E-3</c:v>
                </c:pt>
                <c:pt idx="8">
                  <c:v>1.6582316611856801E-2</c:v>
                </c:pt>
                <c:pt idx="9">
                  <c:v>2.2998582523390324E-2</c:v>
                </c:pt>
                <c:pt idx="10">
                  <c:v>1.2019392653542096E-2</c:v>
                </c:pt>
                <c:pt idx="11">
                  <c:v>2.45948565357667E-2</c:v>
                </c:pt>
                <c:pt idx="12">
                  <c:v>2.0728387074272402E-2</c:v>
                </c:pt>
                <c:pt idx="13">
                  <c:v>1.3999465863414001E-2</c:v>
                </c:pt>
                <c:pt idx="14">
                  <c:v>1.32884514731263E-2</c:v>
                </c:pt>
                <c:pt idx="15">
                  <c:v>1.7824008746544003E-2</c:v>
                </c:pt>
                <c:pt idx="16">
                  <c:v>4.6948814728140298E-3</c:v>
                </c:pt>
                <c:pt idx="17">
                  <c:v>5.2161455747050701E-3</c:v>
                </c:pt>
                <c:pt idx="18">
                  <c:v>4.9033179144238204E-3</c:v>
                </c:pt>
                <c:pt idx="19">
                  <c:v>5.5316308971324522E-2</c:v>
                </c:pt>
                <c:pt idx="20">
                  <c:v>3.0077274151092811E-3</c:v>
                </c:pt>
                <c:pt idx="21">
                  <c:v>3.8644979357857299E-3</c:v>
                </c:pt>
                <c:pt idx="22">
                  <c:v>5.2796759286840309E-3</c:v>
                </c:pt>
                <c:pt idx="23">
                  <c:v>5.9413697897961193E-3</c:v>
                </c:pt>
              </c:numCache>
            </c:numRef>
          </c:val>
        </c:ser>
        <c:gapWidth val="20"/>
        <c:overlap val="100"/>
        <c:axId val="108381696"/>
        <c:axId val="108383232"/>
      </c:barChart>
      <c:catAx>
        <c:axId val="108381696"/>
        <c:scaling>
          <c:orientation val="minMax"/>
        </c:scaling>
        <c:axPos val="b"/>
        <c:numFmt formatCode="General" sourceLinked="0"/>
        <c:tickLblPos val="nextTo"/>
        <c:txPr>
          <a:bodyPr rot="-5400000" vert="horz" anchor="ctr" anchorCtr="0"/>
          <a:lstStyle/>
          <a:p>
            <a:pPr>
              <a:defRPr sz="1000"/>
            </a:pPr>
            <a:endParaRPr lang="en-US"/>
          </a:p>
        </c:txPr>
        <c:crossAx val="108383232"/>
        <c:crosses val="autoZero"/>
        <c:auto val="1"/>
        <c:lblAlgn val="ctr"/>
        <c:lblOffset val="100"/>
      </c:catAx>
      <c:valAx>
        <c:axId val="108383232"/>
        <c:scaling>
          <c:orientation val="minMax"/>
        </c:scaling>
        <c:axPos val="l"/>
        <c:majorGridlines/>
        <c:numFmt formatCode="0.0%" sourceLinked="1"/>
        <c:tickLblPos val="nextTo"/>
        <c:crossAx val="108381696"/>
        <c:crosses val="autoZero"/>
        <c:crossBetween val="between"/>
      </c:valAx>
    </c:plotArea>
    <c:legend>
      <c:legendPos val="b"/>
      <c:legendEntry>
        <c:idx val="0"/>
        <c:delete val="1"/>
      </c:legendEntry>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803554287063599"/>
          <c:y val="7.4474681624817726E-2"/>
          <c:w val="0.79946364379563606"/>
          <c:h val="0.82661344600961295"/>
        </c:manualLayout>
      </c:layout>
      <c:barChart>
        <c:barDir val="bar"/>
        <c:grouping val="stacked"/>
        <c:ser>
          <c:idx val="0"/>
          <c:order val="0"/>
          <c:tx>
            <c:strRef>
              <c:f>'Grafik 3.21'!$D$5</c:f>
              <c:strCache>
                <c:ptCount val="1"/>
                <c:pt idx="0">
                  <c:v>Kehutanan</c:v>
                </c:pt>
              </c:strCache>
            </c:strRef>
          </c:tx>
          <c:spPr>
            <a:solidFill>
              <a:schemeClr val="accent2"/>
            </a:solidFill>
          </c:spPr>
          <c:dLbls>
            <c:spPr>
              <a:noFill/>
              <a:ln>
                <a:noFill/>
              </a:ln>
              <a:effectLst/>
            </c:spPr>
            <c:txPr>
              <a:bodyPr/>
              <a:lstStyle/>
              <a:p>
                <a:pPr>
                  <a:defRPr lang="id-ID" sz="750"/>
                </a:pPr>
                <a:endParaRPr lang="en-US"/>
              </a:p>
            </c:txPr>
            <c:showVal val="1"/>
            <c:extLst>
              <c:ext xmlns:c15="http://schemas.microsoft.com/office/drawing/2012/chart" uri="{CE6537A1-D6FC-4f65-9D91-7224C49458BB}">
                <c15:showLeaderLines val="0"/>
              </c:ext>
            </c:extLst>
          </c:dLbls>
          <c:cat>
            <c:multiLvlStrRef>
              <c:f>'Grafik 3.21'!$B$32:$C$43</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 Kalimantan</c:v>
                  </c:pt>
                  <c:pt idx="8">
                    <c:v>E. Kalimantan</c:v>
                  </c:pt>
                </c:lvl>
              </c:multiLvlStrCache>
            </c:multiLvlStrRef>
          </c:cat>
          <c:val>
            <c:numRef>
              <c:f>'Grafik 3.21'!$D$32:$D$43</c:f>
              <c:numCache>
                <c:formatCode>0.0%</c:formatCode>
                <c:ptCount val="12"/>
                <c:pt idx="0">
                  <c:v>8.1194410094934007E-3</c:v>
                </c:pt>
                <c:pt idx="1">
                  <c:v>4.4076196493377804E-3</c:v>
                </c:pt>
                <c:pt idx="2">
                  <c:v>4.2883582695386413E-3</c:v>
                </c:pt>
                <c:pt idx="3">
                  <c:v>5.1054535947473263E-3</c:v>
                </c:pt>
                <c:pt idx="4">
                  <c:v>4.1766165708695896E-3</c:v>
                </c:pt>
                <c:pt idx="5">
                  <c:v>1.2492710076253698E-2</c:v>
                </c:pt>
                <c:pt idx="6">
                  <c:v>1.0221405893556712E-2</c:v>
                </c:pt>
                <c:pt idx="7">
                  <c:v>7.9828441377364397E-3</c:v>
                </c:pt>
                <c:pt idx="8">
                  <c:v>1.28089397808145E-2</c:v>
                </c:pt>
                <c:pt idx="9">
                  <c:v>1.4067107400656999E-2</c:v>
                </c:pt>
                <c:pt idx="10">
                  <c:v>1.0868622153557101E-2</c:v>
                </c:pt>
                <c:pt idx="11">
                  <c:v>8.4627588537942236E-3</c:v>
                </c:pt>
              </c:numCache>
            </c:numRef>
          </c:val>
        </c:ser>
        <c:gapWidth val="20"/>
        <c:overlap val="100"/>
        <c:axId val="109136512"/>
        <c:axId val="109150592"/>
      </c:barChart>
      <c:catAx>
        <c:axId val="109136512"/>
        <c:scaling>
          <c:orientation val="minMax"/>
        </c:scaling>
        <c:axPos val="l"/>
        <c:numFmt formatCode="General" sourceLinked="0"/>
        <c:tickLblPos val="nextTo"/>
        <c:txPr>
          <a:bodyPr rot="0" vert="horz" anchor="ctr" anchorCtr="0"/>
          <a:lstStyle/>
          <a:p>
            <a:pPr>
              <a:defRPr lang="id-ID" sz="1000"/>
            </a:pPr>
            <a:endParaRPr lang="en-US"/>
          </a:p>
        </c:txPr>
        <c:crossAx val="109150592"/>
        <c:crosses val="autoZero"/>
        <c:auto val="1"/>
        <c:lblAlgn val="ctr"/>
        <c:lblOffset val="100"/>
      </c:catAx>
      <c:valAx>
        <c:axId val="109150592"/>
        <c:scaling>
          <c:orientation val="minMax"/>
        </c:scaling>
        <c:axPos val="b"/>
        <c:majorGridlines/>
        <c:numFmt formatCode="0.0%" sourceLinked="1"/>
        <c:tickLblPos val="nextTo"/>
        <c:txPr>
          <a:bodyPr/>
          <a:lstStyle/>
          <a:p>
            <a:pPr>
              <a:defRPr lang="id-ID"/>
            </a:pPr>
            <a:endParaRPr lang="en-US"/>
          </a:p>
        </c:txPr>
        <c:crossAx val="109136512"/>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pPr>
              <a:noFill/>
            </c:spPr>
            <c:txPr>
              <a:bodyPr rot="-5400000" vert="horz"/>
              <a:lstStyle/>
              <a:p>
                <a:pPr>
                  <a:defRPr lang="id-ID" sz="700">
                    <a:solidFill>
                      <a:schemeClr val="tx1"/>
                    </a:solidFill>
                  </a:defRPr>
                </a:pPr>
                <a:endParaRPr lang="en-US"/>
              </a:p>
            </c:txPr>
            <c:dLblPos val="inBase"/>
            <c:showVal val="1"/>
            <c:extLst>
              <c:ext xmlns:c15="http://schemas.microsoft.com/office/drawing/2012/chart" uri="{CE6537A1-D6FC-4f65-9D91-7224C49458BB}">
                <c15:showLeaderLines val="0"/>
              </c:ext>
            </c:extLst>
          </c:dLbls>
          <c:cat>
            <c:multiLvlStrRef>
              <c:f>'Grafik 3.22'!$C$14:$D$37</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3.22'!$E$14:$E$37</c:f>
              <c:numCache>
                <c:formatCode>0%</c:formatCode>
                <c:ptCount val="24"/>
                <c:pt idx="0">
                  <c:v>0.34250278379755567</c:v>
                </c:pt>
                <c:pt idx="1">
                  <c:v>0.35197713517293333</c:v>
                </c:pt>
                <c:pt idx="2">
                  <c:v>0.31135365863629699</c:v>
                </c:pt>
                <c:pt idx="3">
                  <c:v>0.74260939880888033</c:v>
                </c:pt>
                <c:pt idx="4">
                  <c:v>31.467322304339579</c:v>
                </c:pt>
                <c:pt idx="5">
                  <c:v>5.2873257059608534</c:v>
                </c:pt>
                <c:pt idx="6">
                  <c:v>4.6309403835091789</c:v>
                </c:pt>
                <c:pt idx="7">
                  <c:v>3.7753750779014346</c:v>
                </c:pt>
                <c:pt idx="8">
                  <c:v>3.032241732551034</c:v>
                </c:pt>
                <c:pt idx="9">
                  <c:v>1.2539864947898138</c:v>
                </c:pt>
                <c:pt idx="10">
                  <c:v>1.015320054542749</c:v>
                </c:pt>
                <c:pt idx="11">
                  <c:v>2.8400122113478687</c:v>
                </c:pt>
                <c:pt idx="12">
                  <c:v>5.5917069692123578</c:v>
                </c:pt>
                <c:pt idx="13">
                  <c:v>2.7171403568182639</c:v>
                </c:pt>
                <c:pt idx="14">
                  <c:v>1.2860101192665636</c:v>
                </c:pt>
                <c:pt idx="15">
                  <c:v>2.1615794325028972</c:v>
                </c:pt>
                <c:pt idx="16">
                  <c:v>1.0903714263456581</c:v>
                </c:pt>
                <c:pt idx="17">
                  <c:v>0.12610168145346801</c:v>
                </c:pt>
                <c:pt idx="18">
                  <c:v>0.13147845388871901</c:v>
                </c:pt>
                <c:pt idx="19">
                  <c:v>0</c:v>
                </c:pt>
                <c:pt idx="20">
                  <c:v>8.7365468144387851E-2</c:v>
                </c:pt>
                <c:pt idx="21">
                  <c:v>7.6586441859568727E-2</c:v>
                </c:pt>
                <c:pt idx="22">
                  <c:v>0.16101052770997687</c:v>
                </c:pt>
                <c:pt idx="23">
                  <c:v>0.5716860675776495</c:v>
                </c:pt>
              </c:numCache>
            </c:numRef>
          </c:val>
        </c:ser>
        <c:gapWidth val="30"/>
        <c:axId val="109195264"/>
        <c:axId val="109196800"/>
      </c:barChart>
      <c:catAx>
        <c:axId val="109195264"/>
        <c:scaling>
          <c:orientation val="minMax"/>
        </c:scaling>
        <c:axPos val="b"/>
        <c:numFmt formatCode="General" sourceLinked="0"/>
        <c:tickLblPos val="nextTo"/>
        <c:txPr>
          <a:bodyPr/>
          <a:lstStyle/>
          <a:p>
            <a:pPr>
              <a:defRPr lang="id-ID"/>
            </a:pPr>
            <a:endParaRPr lang="en-US"/>
          </a:p>
        </c:txPr>
        <c:crossAx val="109196800"/>
        <c:crosses val="autoZero"/>
        <c:auto val="1"/>
        <c:lblAlgn val="ctr"/>
        <c:lblOffset val="100"/>
      </c:catAx>
      <c:valAx>
        <c:axId val="109196800"/>
        <c:scaling>
          <c:orientation val="minMax"/>
          <c:max val="6"/>
        </c:scaling>
        <c:axPos val="l"/>
        <c:majorGridlines/>
        <c:numFmt formatCode="0%" sourceLinked="1"/>
        <c:tickLblPos val="nextTo"/>
        <c:txPr>
          <a:bodyPr/>
          <a:lstStyle/>
          <a:p>
            <a:pPr>
              <a:defRPr lang="id-ID"/>
            </a:pPr>
            <a:endParaRPr lang="en-US"/>
          </a:p>
        </c:txPr>
        <c:crossAx val="109195264"/>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'Grafik 3.23'!$C$12</c:f>
              <c:strCache>
                <c:ptCount val="1"/>
                <c:pt idx="0">
                  <c:v>DAU</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strRef>
              <c:f>'Grafik 3.23'!$B$13:$B$15</c:f>
              <c:strCache>
                <c:ptCount val="3"/>
                <c:pt idx="0">
                  <c:v>Musi Banyuasin</c:v>
                </c:pt>
                <c:pt idx="1">
                  <c:v>Berau</c:v>
                </c:pt>
                <c:pt idx="2">
                  <c:v>Bulungan</c:v>
                </c:pt>
              </c:strCache>
            </c:strRef>
          </c:cat>
          <c:val>
            <c:numRef>
              <c:f>'Grafik 3.23'!$C$13:$C$15</c:f>
              <c:numCache>
                <c:formatCode>0%</c:formatCode>
                <c:ptCount val="3"/>
                <c:pt idx="0">
                  <c:v>0.47818517168285773</c:v>
                </c:pt>
                <c:pt idx="1">
                  <c:v>0.76769950873886794</c:v>
                </c:pt>
                <c:pt idx="2">
                  <c:v>0.64845511716511295</c:v>
                </c:pt>
              </c:numCache>
            </c:numRef>
          </c:val>
        </c:ser>
        <c:ser>
          <c:idx val="1"/>
          <c:order val="1"/>
          <c:tx>
            <c:strRef>
              <c:f>'Grafik 3.23'!$D$12</c:f>
              <c:strCache>
                <c:ptCount val="1"/>
                <c:pt idx="0">
                  <c:v>DBH</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strRef>
              <c:f>'Grafik 3.23'!$B$13:$B$15</c:f>
              <c:strCache>
                <c:ptCount val="3"/>
                <c:pt idx="0">
                  <c:v>Musi Banyuasin</c:v>
                </c:pt>
                <c:pt idx="1">
                  <c:v>Berau</c:v>
                </c:pt>
                <c:pt idx="2">
                  <c:v>Bulungan</c:v>
                </c:pt>
              </c:strCache>
            </c:strRef>
          </c:cat>
          <c:val>
            <c:numRef>
              <c:f>'Grafik 3.23'!$D$13:$D$15</c:f>
              <c:numCache>
                <c:formatCode>0%</c:formatCode>
                <c:ptCount val="3"/>
                <c:pt idx="0">
                  <c:v>0.52181482831714299</c:v>
                </c:pt>
                <c:pt idx="1">
                  <c:v>0.23230049126113217</c:v>
                </c:pt>
                <c:pt idx="2">
                  <c:v>0.35154488283488866</c:v>
                </c:pt>
              </c:numCache>
            </c:numRef>
          </c:val>
        </c:ser>
        <c:gapWidth val="40"/>
        <c:overlap val="100"/>
        <c:axId val="109225472"/>
        <c:axId val="109227008"/>
      </c:barChart>
      <c:catAx>
        <c:axId val="109225472"/>
        <c:scaling>
          <c:orientation val="minMax"/>
        </c:scaling>
        <c:axPos val="b"/>
        <c:numFmt formatCode="General" sourceLinked="0"/>
        <c:tickLblPos val="nextTo"/>
        <c:txPr>
          <a:bodyPr/>
          <a:lstStyle/>
          <a:p>
            <a:pPr>
              <a:defRPr lang="id-ID"/>
            </a:pPr>
            <a:endParaRPr lang="en-US"/>
          </a:p>
        </c:txPr>
        <c:crossAx val="109227008"/>
        <c:crosses val="autoZero"/>
        <c:auto val="1"/>
        <c:lblAlgn val="ctr"/>
        <c:lblOffset val="100"/>
      </c:catAx>
      <c:valAx>
        <c:axId val="109227008"/>
        <c:scaling>
          <c:orientation val="minMax"/>
        </c:scaling>
        <c:axPos val="l"/>
        <c:majorGridlines/>
        <c:numFmt formatCode="0%" sourceLinked="1"/>
        <c:tickLblPos val="nextTo"/>
        <c:txPr>
          <a:bodyPr/>
          <a:lstStyle/>
          <a:p>
            <a:pPr>
              <a:defRPr lang="id-ID"/>
            </a:pPr>
            <a:endParaRPr lang="en-US"/>
          </a:p>
        </c:txPr>
        <c:crossAx val="109225472"/>
        <c:crosses val="autoZero"/>
        <c:crossBetween val="between"/>
        <c:majorUnit val="0.2"/>
      </c:valAx>
    </c:plotArea>
    <c:legend>
      <c:legendPos val="r"/>
      <c:txPr>
        <a:bodyPr/>
        <a:lstStyle/>
        <a:p>
          <a:pPr>
            <a:defRPr lang="id-ID"/>
          </a:pPr>
          <a:endParaRPr lang="en-US"/>
        </a:p>
      </c:txP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'Grafik 3.24'!$I$5</c:f>
              <c:strCache>
                <c:ptCount val="1"/>
                <c:pt idx="0">
                  <c:v>Spatial Planning</c:v>
                </c:pt>
              </c:strCache>
            </c:strRef>
          </c:tx>
          <c:spPr>
            <a:solidFill>
              <a:srgbClr val="C00000"/>
            </a:solidFill>
            <a:ln>
              <a:noFill/>
            </a:ln>
            <a:effectLst/>
          </c:spPr>
          <c:dPt>
            <c:idx val="1"/>
            <c:spPr>
              <a:solidFill>
                <a:schemeClr val="accent1"/>
              </a:solidFill>
              <a:ln>
                <a:noFill/>
              </a:ln>
              <a:effectLst/>
            </c:spPr>
          </c:dPt>
          <c:dPt>
            <c:idx val="2"/>
            <c:spPr>
              <a:solidFill>
                <a:srgbClr val="FFC000"/>
              </a:solidFill>
              <a:ln>
                <a:noFill/>
              </a:ln>
              <a:effectLst/>
            </c:spPr>
          </c:dPt>
          <c:dPt>
            <c:idx val="3"/>
            <c:spPr>
              <a:solidFill>
                <a:srgbClr val="92D050"/>
              </a:solidFill>
              <a:ln>
                <a:noFill/>
              </a:ln>
              <a:effectLst/>
            </c:spPr>
          </c:dPt>
          <c:dPt>
            <c:idx val="5"/>
            <c:spPr>
              <a:solidFill>
                <a:schemeClr val="accent1"/>
              </a:solidFill>
              <a:ln>
                <a:noFill/>
              </a:ln>
              <a:effectLst/>
            </c:spPr>
          </c:dPt>
          <c:dPt>
            <c:idx val="6"/>
            <c:spPr>
              <a:solidFill>
                <a:srgbClr val="FFC000"/>
              </a:solidFill>
              <a:ln>
                <a:noFill/>
              </a:ln>
              <a:effectLst/>
            </c:spPr>
          </c:dPt>
          <c:dPt>
            <c:idx val="7"/>
            <c:spPr>
              <a:solidFill>
                <a:srgbClr val="92D050"/>
              </a:solidFill>
              <a:ln>
                <a:noFill/>
              </a:ln>
              <a:effectLst/>
            </c:spPr>
          </c:dPt>
          <c:dPt>
            <c:idx val="9"/>
            <c:spPr>
              <a:solidFill>
                <a:schemeClr val="accent1"/>
              </a:solidFill>
              <a:ln>
                <a:noFill/>
              </a:ln>
              <a:effectLst/>
            </c:spPr>
          </c:dPt>
          <c:dPt>
            <c:idx val="10"/>
            <c:spPr>
              <a:solidFill>
                <a:srgbClr val="FFC000"/>
              </a:solidFill>
              <a:ln>
                <a:noFill/>
              </a:ln>
              <a:effectLst/>
            </c:spPr>
          </c:dPt>
          <c:dPt>
            <c:idx val="11"/>
            <c:spPr>
              <a:solidFill>
                <a:srgbClr val="92D050"/>
              </a:solidFill>
              <a:ln>
                <a:noFill/>
              </a:ln>
              <a:effectLst/>
            </c:spPr>
          </c:dPt>
          <c:dPt>
            <c:idx val="13"/>
            <c:spPr>
              <a:solidFill>
                <a:schemeClr val="accent1"/>
              </a:solidFill>
              <a:ln>
                <a:noFill/>
              </a:ln>
              <a:effectLst/>
            </c:spPr>
          </c:dPt>
          <c:dPt>
            <c:idx val="14"/>
            <c:spPr>
              <a:solidFill>
                <a:srgbClr val="FFC000"/>
              </a:solidFill>
              <a:ln>
                <a:noFill/>
              </a:ln>
              <a:effectLst/>
            </c:spPr>
          </c:dPt>
          <c:dPt>
            <c:idx val="15"/>
            <c:spPr>
              <a:solidFill>
                <a:srgbClr val="92D050"/>
              </a:solidFill>
              <a:ln>
                <a:noFill/>
              </a:ln>
              <a:effectLst/>
            </c:spPr>
          </c:dPt>
          <c:dPt>
            <c:idx val="17"/>
            <c:spPr>
              <a:solidFill>
                <a:schemeClr val="accent1"/>
              </a:solidFill>
              <a:ln>
                <a:noFill/>
              </a:ln>
              <a:effectLst/>
            </c:spPr>
          </c:dPt>
          <c:dPt>
            <c:idx val="18"/>
            <c:spPr>
              <a:solidFill>
                <a:srgbClr val="FFC000"/>
              </a:solidFill>
              <a:ln>
                <a:noFill/>
              </a:ln>
              <a:effectLst/>
            </c:spPr>
          </c:dPt>
          <c:dPt>
            <c:idx val="19"/>
            <c:spPr>
              <a:solidFill>
                <a:srgbClr val="92D050"/>
              </a:solidFill>
              <a:ln>
                <a:noFill/>
              </a:ln>
              <a:effectLst/>
            </c:spPr>
          </c:dPt>
          <c:dPt>
            <c:idx val="21"/>
            <c:spPr>
              <a:solidFill>
                <a:schemeClr val="accent1"/>
              </a:solidFill>
              <a:ln>
                <a:noFill/>
              </a:ln>
              <a:effectLst/>
            </c:spPr>
          </c:dPt>
          <c:dPt>
            <c:idx val="22"/>
            <c:spPr>
              <a:solidFill>
                <a:srgbClr val="FFC000"/>
              </a:solidFill>
              <a:ln>
                <a:noFill/>
              </a:ln>
              <a:effectLst/>
            </c:spPr>
          </c:dPt>
          <c:dPt>
            <c:idx val="23"/>
            <c:spPr>
              <a:solidFill>
                <a:srgbClr val="92D050"/>
              </a:solidFill>
              <a:ln>
                <a:noFill/>
              </a:ln>
              <a:effectLst/>
            </c:spPr>
          </c:dPt>
          <c:dPt>
            <c:idx val="25"/>
            <c:spPr>
              <a:solidFill>
                <a:schemeClr val="accent1"/>
              </a:solidFill>
              <a:ln>
                <a:noFill/>
              </a:ln>
              <a:effectLst/>
            </c:spPr>
          </c:dPt>
          <c:dPt>
            <c:idx val="26"/>
            <c:spPr>
              <a:solidFill>
                <a:srgbClr val="FFC000"/>
              </a:solidFill>
              <a:ln>
                <a:noFill/>
              </a:ln>
              <a:effectLst/>
            </c:spPr>
          </c:dPt>
          <c:dPt>
            <c:idx val="27"/>
            <c:spPr>
              <a:solidFill>
                <a:srgbClr val="92D050"/>
              </a:solidFill>
              <a:ln>
                <a:noFill/>
              </a:ln>
              <a:effectLst/>
            </c:spPr>
          </c:dPt>
          <c:dPt>
            <c:idx val="29"/>
            <c:spPr>
              <a:solidFill>
                <a:schemeClr val="accent1"/>
              </a:solidFill>
              <a:ln>
                <a:noFill/>
              </a:ln>
              <a:effectLst/>
            </c:spPr>
          </c:dPt>
          <c:dPt>
            <c:idx val="30"/>
            <c:spPr>
              <a:solidFill>
                <a:srgbClr val="FFC000"/>
              </a:solidFill>
              <a:ln>
                <a:noFill/>
              </a:ln>
              <a:effectLst/>
            </c:spPr>
          </c:dPt>
          <c:dPt>
            <c:idx val="31"/>
            <c:spPr>
              <a:solidFill>
                <a:srgbClr val="92D050"/>
              </a:solidFill>
              <a:ln>
                <a:noFill/>
              </a:ln>
              <a:effectLst/>
            </c:spPr>
          </c:dPt>
          <c:dPt>
            <c:idx val="33"/>
            <c:spPr>
              <a:solidFill>
                <a:schemeClr val="accent1"/>
              </a:solidFill>
              <a:ln>
                <a:noFill/>
              </a:ln>
              <a:effectLst/>
            </c:spPr>
          </c:dPt>
          <c:dPt>
            <c:idx val="34"/>
            <c:spPr>
              <a:solidFill>
                <a:srgbClr val="FFC000"/>
              </a:solidFill>
              <a:ln>
                <a:noFill/>
              </a:ln>
              <a:effectLst/>
            </c:spPr>
          </c:dPt>
          <c:dPt>
            <c:idx val="35"/>
            <c:spPr>
              <a:solidFill>
                <a:srgbClr val="92D050"/>
              </a:solidFill>
              <a:ln>
                <a:noFill/>
              </a:ln>
              <a:effectLst/>
            </c:spPr>
          </c:dPt>
          <c:cat>
            <c:multiLvlStrRef>
              <c:f>'Grafik 3.24'!$C$6:$D$41</c:f>
              <c:multiLvlStrCache>
                <c:ptCount val="36"/>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pt idx="24">
                    <c:v>2009</c:v>
                  </c:pt>
                  <c:pt idx="25">
                    <c:v>2010</c:v>
                  </c:pt>
                  <c:pt idx="26">
                    <c:v>2011</c:v>
                  </c:pt>
                  <c:pt idx="27">
                    <c:v>2012</c:v>
                  </c:pt>
                  <c:pt idx="28">
                    <c:v>2009</c:v>
                  </c:pt>
                  <c:pt idx="29">
                    <c:v>2010</c:v>
                  </c:pt>
                  <c:pt idx="30">
                    <c:v>2011</c:v>
                  </c:pt>
                  <c:pt idx="31">
                    <c:v>2012</c:v>
                  </c:pt>
                  <c:pt idx="32">
                    <c:v>2009</c:v>
                  </c:pt>
                  <c:pt idx="33">
                    <c:v>2010</c:v>
                  </c:pt>
                  <c:pt idx="34">
                    <c:v>2011</c:v>
                  </c:pt>
                  <c:pt idx="35">
                    <c:v>2012</c:v>
                  </c:pt>
                </c:lvl>
                <c:lvl>
                  <c:pt idx="0">
                    <c:v>Musi Banyuasin</c:v>
                  </c:pt>
                  <c:pt idx="4">
                    <c:v>Musi Rawas</c:v>
                  </c:pt>
                  <c:pt idx="8">
                    <c:v>Sintang</c:v>
                  </c:pt>
                  <c:pt idx="12">
                    <c:v>Kubu Raya</c:v>
                  </c:pt>
                  <c:pt idx="16">
                    <c:v>Berau</c:v>
                  </c:pt>
                  <c:pt idx="20">
                    <c:v>Bulungan</c:v>
                  </c:pt>
                  <c:pt idx="24">
                    <c:v>South Sumatra</c:v>
                  </c:pt>
                  <c:pt idx="28">
                    <c:v>West Kalimantan </c:v>
                  </c:pt>
                  <c:pt idx="32">
                    <c:v>East Kalimantan</c:v>
                  </c:pt>
                </c:lvl>
              </c:multiLvlStrCache>
            </c:multiLvlStrRef>
          </c:cat>
          <c:val>
            <c:numRef>
              <c:f>'Grafik 3.24'!$I$6:$I$41</c:f>
              <c:numCache>
                <c:formatCode>0.0%</c:formatCode>
                <c:ptCount val="36"/>
                <c:pt idx="0">
                  <c:v>0</c:v>
                </c:pt>
                <c:pt idx="1">
                  <c:v>0</c:v>
                </c:pt>
                <c:pt idx="2">
                  <c:v>0</c:v>
                </c:pt>
                <c:pt idx="3">
                  <c:v>0</c:v>
                </c:pt>
                <c:pt idx="4">
                  <c:v>2.5070463013217406E-4</c:v>
                </c:pt>
                <c:pt idx="5">
                  <c:v>2.7343130317608231E-4</c:v>
                </c:pt>
                <c:pt idx="6">
                  <c:v>0</c:v>
                </c:pt>
                <c:pt idx="7">
                  <c:v>7.1789141190017338E-4</c:v>
                </c:pt>
                <c:pt idx="8">
                  <c:v>1.5199952119207413E-3</c:v>
                </c:pt>
                <c:pt idx="9">
                  <c:v>1.5685548609606921E-3</c:v>
                </c:pt>
                <c:pt idx="10">
                  <c:v>8.0921708014376531E-4</c:v>
                </c:pt>
                <c:pt idx="11">
                  <c:v>0</c:v>
                </c:pt>
                <c:pt idx="12">
                  <c:v>0</c:v>
                </c:pt>
                <c:pt idx="13">
                  <c:v>3.6911255552456363E-3</c:v>
                </c:pt>
                <c:pt idx="14">
                  <c:v>1.8694528762561828E-3</c:v>
                </c:pt>
                <c:pt idx="15">
                  <c:v>0</c:v>
                </c:pt>
                <c:pt idx="16">
                  <c:v>0</c:v>
                </c:pt>
                <c:pt idx="17">
                  <c:v>0</c:v>
                </c:pt>
                <c:pt idx="18">
                  <c:v>0</c:v>
                </c:pt>
                <c:pt idx="19">
                  <c:v>1.1180027670244801E-3</c:v>
                </c:pt>
                <c:pt idx="20">
                  <c:v>0</c:v>
                </c:pt>
                <c:pt idx="21">
                  <c:v>0</c:v>
                </c:pt>
                <c:pt idx="22">
                  <c:v>0</c:v>
                </c:pt>
                <c:pt idx="23">
                  <c:v>0</c:v>
                </c:pt>
                <c:pt idx="24">
                  <c:v>0</c:v>
                </c:pt>
                <c:pt idx="25">
                  <c:v>0</c:v>
                </c:pt>
                <c:pt idx="26">
                  <c:v>0</c:v>
                </c:pt>
                <c:pt idx="27">
                  <c:v>0</c:v>
                </c:pt>
                <c:pt idx="28">
                  <c:v>0</c:v>
                </c:pt>
                <c:pt idx="29">
                  <c:v>0</c:v>
                </c:pt>
                <c:pt idx="30">
                  <c:v>0</c:v>
                </c:pt>
                <c:pt idx="31">
                  <c:v>0</c:v>
                </c:pt>
                <c:pt idx="32">
                  <c:v>5.2078699894627105E-4</c:v>
                </c:pt>
                <c:pt idx="33">
                  <c:v>3.5087204233485401E-3</c:v>
                </c:pt>
                <c:pt idx="34">
                  <c:v>1.7514719585062601E-3</c:v>
                </c:pt>
                <c:pt idx="35">
                  <c:v>1.4517339499062413E-3</c:v>
                </c:pt>
              </c:numCache>
            </c:numRef>
          </c:val>
        </c:ser>
        <c:gapWidth val="19"/>
        <c:overlap val="-27"/>
        <c:axId val="109405312"/>
        <c:axId val="109406848"/>
      </c:barChart>
      <c:catAx>
        <c:axId val="109405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id-ID" sz="800" b="0" i="0" u="none" strike="noStrike" kern="1200" baseline="0">
                <a:solidFill>
                  <a:schemeClr val="tx1">
                    <a:lumMod val="65000"/>
                    <a:lumOff val="35000"/>
                  </a:schemeClr>
                </a:solidFill>
                <a:latin typeface="+mn-lt"/>
                <a:ea typeface="+mn-ea"/>
                <a:cs typeface="+mn-cs"/>
              </a:defRPr>
            </a:pPr>
            <a:endParaRPr lang="en-US"/>
          </a:p>
        </c:txPr>
        <c:crossAx val="109406848"/>
        <c:crosses val="autoZero"/>
        <c:auto val="1"/>
        <c:lblAlgn val="ctr"/>
        <c:lblOffset val="100"/>
      </c:catAx>
      <c:valAx>
        <c:axId val="10940684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1094053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'Grafik 3.26'!$H$5</c:f>
              <c:strCache>
                <c:ptCount val="1"/>
                <c:pt idx="0">
                  <c:v>Pertanian</c:v>
                </c:pt>
              </c:strCache>
            </c:strRef>
          </c:tx>
          <c:spPr>
            <a:solidFill>
              <a:srgbClr val="C00000"/>
            </a:solidFill>
            <a:ln>
              <a:noFill/>
            </a:ln>
            <a:effectLst/>
          </c:spPr>
          <c:dPt>
            <c:idx val="1"/>
            <c:spPr>
              <a:solidFill>
                <a:schemeClr val="accent1"/>
              </a:solidFill>
              <a:ln>
                <a:noFill/>
              </a:ln>
              <a:effectLst/>
            </c:spPr>
          </c:dPt>
          <c:dPt>
            <c:idx val="2"/>
            <c:spPr>
              <a:solidFill>
                <a:srgbClr val="FFC000"/>
              </a:solidFill>
              <a:ln>
                <a:noFill/>
              </a:ln>
              <a:effectLst/>
            </c:spPr>
          </c:dPt>
          <c:dPt>
            <c:idx val="3"/>
            <c:spPr>
              <a:solidFill>
                <a:srgbClr val="92D050"/>
              </a:solidFill>
              <a:ln>
                <a:noFill/>
              </a:ln>
              <a:effectLst/>
            </c:spPr>
          </c:dPt>
          <c:dPt>
            <c:idx val="5"/>
            <c:spPr>
              <a:solidFill>
                <a:schemeClr val="accent1"/>
              </a:solidFill>
              <a:ln>
                <a:noFill/>
              </a:ln>
              <a:effectLst/>
            </c:spPr>
          </c:dPt>
          <c:dPt>
            <c:idx val="6"/>
            <c:spPr>
              <a:solidFill>
                <a:srgbClr val="FFC000"/>
              </a:solidFill>
              <a:ln>
                <a:noFill/>
              </a:ln>
              <a:effectLst/>
            </c:spPr>
          </c:dPt>
          <c:dPt>
            <c:idx val="7"/>
            <c:spPr>
              <a:solidFill>
                <a:srgbClr val="92D050"/>
              </a:solidFill>
              <a:ln>
                <a:noFill/>
              </a:ln>
              <a:effectLst/>
            </c:spPr>
          </c:dPt>
          <c:dPt>
            <c:idx val="9"/>
            <c:spPr>
              <a:solidFill>
                <a:schemeClr val="accent1"/>
              </a:solidFill>
              <a:ln>
                <a:noFill/>
              </a:ln>
              <a:effectLst/>
            </c:spPr>
          </c:dPt>
          <c:dPt>
            <c:idx val="10"/>
            <c:spPr>
              <a:solidFill>
                <a:srgbClr val="FFC000"/>
              </a:solidFill>
              <a:ln>
                <a:noFill/>
              </a:ln>
              <a:effectLst/>
            </c:spPr>
          </c:dPt>
          <c:dPt>
            <c:idx val="11"/>
            <c:spPr>
              <a:solidFill>
                <a:srgbClr val="92D050"/>
              </a:solidFill>
              <a:ln>
                <a:noFill/>
              </a:ln>
              <a:effectLst/>
            </c:spPr>
          </c:dPt>
          <c:dPt>
            <c:idx val="13"/>
            <c:spPr>
              <a:solidFill>
                <a:schemeClr val="accent1"/>
              </a:solidFill>
              <a:ln>
                <a:noFill/>
              </a:ln>
              <a:effectLst/>
            </c:spPr>
          </c:dPt>
          <c:dPt>
            <c:idx val="14"/>
            <c:spPr>
              <a:solidFill>
                <a:srgbClr val="FFC000"/>
              </a:solidFill>
              <a:ln>
                <a:noFill/>
              </a:ln>
              <a:effectLst/>
            </c:spPr>
          </c:dPt>
          <c:dPt>
            <c:idx val="15"/>
            <c:spPr>
              <a:solidFill>
                <a:srgbClr val="92D050"/>
              </a:solidFill>
              <a:ln>
                <a:noFill/>
              </a:ln>
              <a:effectLst/>
            </c:spPr>
          </c:dPt>
          <c:dPt>
            <c:idx val="17"/>
            <c:spPr>
              <a:solidFill>
                <a:schemeClr val="accent1"/>
              </a:solidFill>
              <a:ln>
                <a:noFill/>
              </a:ln>
              <a:effectLst/>
            </c:spPr>
          </c:dPt>
          <c:dPt>
            <c:idx val="18"/>
            <c:spPr>
              <a:solidFill>
                <a:srgbClr val="FFC000"/>
              </a:solidFill>
              <a:ln>
                <a:noFill/>
              </a:ln>
              <a:effectLst/>
            </c:spPr>
          </c:dPt>
          <c:dPt>
            <c:idx val="19"/>
            <c:spPr>
              <a:solidFill>
                <a:srgbClr val="92D050"/>
              </a:solidFill>
              <a:ln>
                <a:noFill/>
              </a:ln>
              <a:effectLst/>
            </c:spPr>
          </c:dPt>
          <c:dPt>
            <c:idx val="21"/>
            <c:spPr>
              <a:solidFill>
                <a:schemeClr val="accent1"/>
              </a:solidFill>
              <a:ln>
                <a:noFill/>
              </a:ln>
              <a:effectLst/>
            </c:spPr>
          </c:dPt>
          <c:dPt>
            <c:idx val="22"/>
            <c:spPr>
              <a:solidFill>
                <a:srgbClr val="FFC000"/>
              </a:solidFill>
              <a:ln>
                <a:noFill/>
              </a:ln>
              <a:effectLst/>
            </c:spPr>
          </c:dPt>
          <c:dPt>
            <c:idx val="23"/>
            <c:spPr>
              <a:solidFill>
                <a:srgbClr val="92D050"/>
              </a:solidFill>
              <a:ln>
                <a:noFill/>
              </a:ln>
              <a:effectLst/>
            </c:spPr>
          </c:dPt>
          <c:dPt>
            <c:idx val="25"/>
            <c:spPr>
              <a:solidFill>
                <a:schemeClr val="accent1"/>
              </a:solidFill>
              <a:ln>
                <a:noFill/>
              </a:ln>
              <a:effectLst/>
            </c:spPr>
          </c:dPt>
          <c:dPt>
            <c:idx val="26"/>
            <c:spPr>
              <a:solidFill>
                <a:srgbClr val="FFC000"/>
              </a:solidFill>
              <a:ln>
                <a:noFill/>
              </a:ln>
              <a:effectLst/>
            </c:spPr>
          </c:dPt>
          <c:dPt>
            <c:idx val="27"/>
            <c:spPr>
              <a:solidFill>
                <a:srgbClr val="92D050"/>
              </a:solidFill>
              <a:ln>
                <a:noFill/>
              </a:ln>
              <a:effectLst/>
            </c:spPr>
          </c:dPt>
          <c:dPt>
            <c:idx val="29"/>
            <c:spPr>
              <a:solidFill>
                <a:schemeClr val="accent1"/>
              </a:solidFill>
              <a:ln>
                <a:noFill/>
              </a:ln>
              <a:effectLst/>
            </c:spPr>
          </c:dPt>
          <c:dPt>
            <c:idx val="30"/>
            <c:spPr>
              <a:solidFill>
                <a:srgbClr val="FFC000"/>
              </a:solidFill>
              <a:ln>
                <a:noFill/>
              </a:ln>
              <a:effectLst/>
            </c:spPr>
          </c:dPt>
          <c:dPt>
            <c:idx val="31"/>
            <c:spPr>
              <a:solidFill>
                <a:srgbClr val="92D050"/>
              </a:solidFill>
              <a:ln>
                <a:noFill/>
              </a:ln>
              <a:effectLst/>
            </c:spPr>
          </c:dPt>
          <c:dPt>
            <c:idx val="33"/>
            <c:spPr>
              <a:solidFill>
                <a:schemeClr val="accent1"/>
              </a:solidFill>
              <a:ln>
                <a:noFill/>
              </a:ln>
              <a:effectLst/>
            </c:spPr>
          </c:dPt>
          <c:dPt>
            <c:idx val="34"/>
            <c:spPr>
              <a:solidFill>
                <a:srgbClr val="FFC000"/>
              </a:solidFill>
              <a:ln>
                <a:noFill/>
              </a:ln>
              <a:effectLst/>
            </c:spPr>
          </c:dPt>
          <c:dPt>
            <c:idx val="35"/>
            <c:spPr>
              <a:solidFill>
                <a:srgbClr val="92D050"/>
              </a:solidFill>
              <a:ln>
                <a:noFill/>
              </a:ln>
              <a:effectLst/>
            </c:spPr>
          </c:dPt>
          <c:cat>
            <c:multiLvlStrRef>
              <c:f>'Grafik 3.26'!$C$6:$D$41</c:f>
              <c:multiLvlStrCache>
                <c:ptCount val="36"/>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pt idx="24">
                    <c:v>2009</c:v>
                  </c:pt>
                  <c:pt idx="25">
                    <c:v>2010</c:v>
                  </c:pt>
                  <c:pt idx="26">
                    <c:v>2011</c:v>
                  </c:pt>
                  <c:pt idx="27">
                    <c:v>2012</c:v>
                  </c:pt>
                  <c:pt idx="28">
                    <c:v>2009</c:v>
                  </c:pt>
                  <c:pt idx="29">
                    <c:v>2010</c:v>
                  </c:pt>
                  <c:pt idx="30">
                    <c:v>2011</c:v>
                  </c:pt>
                  <c:pt idx="31">
                    <c:v>2012</c:v>
                  </c:pt>
                  <c:pt idx="32">
                    <c:v>2009</c:v>
                  </c:pt>
                  <c:pt idx="33">
                    <c:v>2010</c:v>
                  </c:pt>
                  <c:pt idx="34">
                    <c:v>2011</c:v>
                  </c:pt>
                  <c:pt idx="35">
                    <c:v>2012</c:v>
                  </c:pt>
                </c:lvl>
                <c:lvl>
                  <c:pt idx="0">
                    <c:v>Musi Banyuasin</c:v>
                  </c:pt>
                  <c:pt idx="4">
                    <c:v>Musi Rawas</c:v>
                  </c:pt>
                  <c:pt idx="8">
                    <c:v>Sintang</c:v>
                  </c:pt>
                  <c:pt idx="12">
                    <c:v>Kubu Raya</c:v>
                  </c:pt>
                  <c:pt idx="16">
                    <c:v>Berau</c:v>
                  </c:pt>
                  <c:pt idx="20">
                    <c:v>Bulungan</c:v>
                  </c:pt>
                  <c:pt idx="24">
                    <c:v>South Sumatra</c:v>
                  </c:pt>
                  <c:pt idx="28">
                    <c:v>West Kalimantan</c:v>
                  </c:pt>
                  <c:pt idx="32">
                    <c:v>East Kalimantan</c:v>
                  </c:pt>
                </c:lvl>
              </c:multiLvlStrCache>
            </c:multiLvlStrRef>
          </c:cat>
          <c:val>
            <c:numRef>
              <c:f>'Grafik 3.26'!$H$6:$H$41</c:f>
              <c:numCache>
                <c:formatCode>0.0%</c:formatCode>
                <c:ptCount val="36"/>
                <c:pt idx="0">
                  <c:v>3.3646416415523843E-2</c:v>
                </c:pt>
                <c:pt idx="1">
                  <c:v>3.8453612327292601E-2</c:v>
                </c:pt>
                <c:pt idx="2">
                  <c:v>3.1239630323011153E-2</c:v>
                </c:pt>
                <c:pt idx="3">
                  <c:v>3.6451455892490603E-2</c:v>
                </c:pt>
                <c:pt idx="4">
                  <c:v>4.7232023932678106E-2</c:v>
                </c:pt>
                <c:pt idx="5">
                  <c:v>4.9350048715976598E-2</c:v>
                </c:pt>
                <c:pt idx="6">
                  <c:v>3.8083281131583602E-2</c:v>
                </c:pt>
                <c:pt idx="7">
                  <c:v>2.9969420772249799E-2</c:v>
                </c:pt>
                <c:pt idx="8">
                  <c:v>2.0973896061975437E-2</c:v>
                </c:pt>
                <c:pt idx="9">
                  <c:v>3.0736531856475499E-2</c:v>
                </c:pt>
                <c:pt idx="10">
                  <c:v>2.0908933405725746E-2</c:v>
                </c:pt>
                <c:pt idx="11">
                  <c:v>4.0388923396156733E-2</c:v>
                </c:pt>
                <c:pt idx="12">
                  <c:v>1.3905446174772899E-2</c:v>
                </c:pt>
                <c:pt idx="13">
                  <c:v>3.1191417668982532E-2</c:v>
                </c:pt>
                <c:pt idx="14">
                  <c:v>3.2644323107048297E-2</c:v>
                </c:pt>
                <c:pt idx="15">
                  <c:v>3.6365014536765605E-2</c:v>
                </c:pt>
                <c:pt idx="16">
                  <c:v>2.6445670752606235E-2</c:v>
                </c:pt>
                <c:pt idx="17">
                  <c:v>2.03490117434286E-2</c:v>
                </c:pt>
                <c:pt idx="18">
                  <c:v>1.4951335924629598E-2</c:v>
                </c:pt>
                <c:pt idx="19">
                  <c:v>3.05476111927768E-2</c:v>
                </c:pt>
                <c:pt idx="20">
                  <c:v>1.4634613989934684E-2</c:v>
                </c:pt>
                <c:pt idx="21">
                  <c:v>1.1858098696553803E-2</c:v>
                </c:pt>
                <c:pt idx="22">
                  <c:v>1.4882525890141413E-2</c:v>
                </c:pt>
                <c:pt idx="23">
                  <c:v>1.75978867139641E-2</c:v>
                </c:pt>
                <c:pt idx="24">
                  <c:v>3.0977902624839258E-2</c:v>
                </c:pt>
                <c:pt idx="25">
                  <c:v>2.3045395470590153E-2</c:v>
                </c:pt>
                <c:pt idx="26">
                  <c:v>2.4765747130916699E-2</c:v>
                </c:pt>
                <c:pt idx="27">
                  <c:v>2.2273407288388634E-2</c:v>
                </c:pt>
                <c:pt idx="28">
                  <c:v>4.2444671064252495E-2</c:v>
                </c:pt>
                <c:pt idx="29">
                  <c:v>5.7786859246446984E-2</c:v>
                </c:pt>
                <c:pt idx="30">
                  <c:v>5.8569229128229899E-2</c:v>
                </c:pt>
                <c:pt idx="31">
                  <c:v>6.3981938033265004E-2</c:v>
                </c:pt>
                <c:pt idx="32">
                  <c:v>2.3334292161598501E-2</c:v>
                </c:pt>
                <c:pt idx="33">
                  <c:v>2.6823995043578828E-2</c:v>
                </c:pt>
                <c:pt idx="34">
                  <c:v>2.0038665105359135E-2</c:v>
                </c:pt>
                <c:pt idx="35">
                  <c:v>1.7230077531847802E-2</c:v>
                </c:pt>
              </c:numCache>
            </c:numRef>
          </c:val>
        </c:ser>
        <c:gapWidth val="19"/>
        <c:overlap val="-27"/>
        <c:axId val="109449600"/>
        <c:axId val="109451136"/>
      </c:barChart>
      <c:catAx>
        <c:axId val="10944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lang="id-ID" sz="800" b="0" i="0" u="none" strike="noStrike" kern="1200" baseline="0">
                <a:solidFill>
                  <a:schemeClr val="tx1">
                    <a:lumMod val="65000"/>
                    <a:lumOff val="35000"/>
                  </a:schemeClr>
                </a:solidFill>
                <a:latin typeface="+mn-lt"/>
                <a:ea typeface="+mn-ea"/>
                <a:cs typeface="+mn-cs"/>
              </a:defRPr>
            </a:pPr>
            <a:endParaRPr lang="en-US"/>
          </a:p>
        </c:txPr>
        <c:crossAx val="109451136"/>
        <c:crosses val="autoZero"/>
        <c:auto val="1"/>
        <c:lblAlgn val="ctr"/>
        <c:lblOffset val="100"/>
      </c:catAx>
      <c:valAx>
        <c:axId val="109451136"/>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en-US"/>
          </a:p>
        </c:txPr>
        <c:crossAx val="1094496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'Grafik 3.27'!$R$9</c:f>
              <c:strCache>
                <c:ptCount val="1"/>
                <c:pt idx="0">
                  <c:v>Murni</c:v>
                </c:pt>
              </c:strCache>
            </c:strRef>
          </c:tx>
          <c:dLbls>
            <c:spPr>
              <a:noFill/>
              <a:ln>
                <a:noFill/>
              </a:ln>
              <a:effectLst/>
            </c:spPr>
            <c:txPr>
              <a:bodyPr rot="-5400000" vert="horz"/>
              <a:lstStyle/>
              <a:p>
                <a:pPr>
                  <a:defRPr lang="id-ID" sz="800"/>
                </a:pPr>
                <a:endParaRPr lang="en-US"/>
              </a:p>
            </c:txPr>
            <c:dLblPos val="ctr"/>
            <c:showVal val="1"/>
            <c:extLst>
              <c:ext xmlns:c15="http://schemas.microsoft.com/office/drawing/2012/chart" uri="{CE6537A1-D6FC-4f65-9D91-7224C49458BB}">
                <c15:showLeaderLines val="0"/>
              </c:ext>
            </c:extLst>
          </c:dLbls>
          <c:cat>
            <c:multiLvlStrRef>
              <c:f>'Grafik 3.27'!$P$10:$Q$21</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3.27'!$R$10:$R$21</c:f>
              <c:numCache>
                <c:formatCode>#,##0_);\(#,##0\)</c:formatCode>
                <c:ptCount val="12"/>
                <c:pt idx="0">
                  <c:v>-70</c:v>
                </c:pt>
                <c:pt idx="1">
                  <c:v>-93.73972761862025</c:v>
                </c:pt>
                <c:pt idx="2">
                  <c:v>-130.40300000000002</c:v>
                </c:pt>
                <c:pt idx="3">
                  <c:v>196.6956780000003</c:v>
                </c:pt>
                <c:pt idx="4">
                  <c:v>-49.999999999500112</c:v>
                </c:pt>
                <c:pt idx="5">
                  <c:v>-115.48008944518038</c:v>
                </c:pt>
                <c:pt idx="6">
                  <c:v>-115</c:v>
                </c:pt>
                <c:pt idx="7">
                  <c:v>-65</c:v>
                </c:pt>
                <c:pt idx="8">
                  <c:v>-417.99977550000023</c:v>
                </c:pt>
                <c:pt idx="9">
                  <c:v>-245</c:v>
                </c:pt>
                <c:pt idx="10">
                  <c:v>-808</c:v>
                </c:pt>
                <c:pt idx="11">
                  <c:v>-1400</c:v>
                </c:pt>
              </c:numCache>
            </c:numRef>
          </c:val>
        </c:ser>
        <c:ser>
          <c:idx val="1"/>
          <c:order val="1"/>
          <c:tx>
            <c:strRef>
              <c:f>'Grafik 3.27'!$S$9</c:f>
              <c:strCache>
                <c:ptCount val="1"/>
                <c:pt idx="0">
                  <c:v>Realisasi</c:v>
                </c:pt>
              </c:strCache>
            </c:strRef>
          </c:tx>
          <c:dLbls>
            <c:spPr>
              <a:noFill/>
              <a:ln>
                <a:noFill/>
              </a:ln>
              <a:effectLst/>
            </c:spPr>
            <c:txPr>
              <a:bodyPr rot="-5400000" vert="horz"/>
              <a:lstStyle/>
              <a:p>
                <a:pPr>
                  <a:defRPr lang="id-ID" sz="900"/>
                </a:pPr>
                <a:endParaRPr lang="en-US"/>
              </a:p>
            </c:txPr>
            <c:dLblPos val="ctr"/>
            <c:showVal val="1"/>
            <c:extLst>
              <c:ext xmlns:c15="http://schemas.microsoft.com/office/drawing/2012/chart" uri="{CE6537A1-D6FC-4f65-9D91-7224C49458BB}">
                <c15:showLeaderLines val="0"/>
              </c:ext>
            </c:extLst>
          </c:dLbls>
          <c:cat>
            <c:multiLvlStrRef>
              <c:f>'Grafik 3.27'!$P$10:$Q$21</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3.27'!$S$10:$S$21</c:f>
              <c:numCache>
                <c:formatCode>#,##0_);\(#,##0\)</c:formatCode>
                <c:ptCount val="12"/>
                <c:pt idx="0">
                  <c:v>56.358632719560056</c:v>
                </c:pt>
                <c:pt idx="1">
                  <c:v>114.88770092365002</c:v>
                </c:pt>
                <c:pt idx="2">
                  <c:v>157.90513114871001</c:v>
                </c:pt>
                <c:pt idx="4">
                  <c:v>-49.091160646550172</c:v>
                </c:pt>
                <c:pt idx="5">
                  <c:v>78.724984709979736</c:v>
                </c:pt>
                <c:pt idx="6">
                  <c:v>206.92589460461051</c:v>
                </c:pt>
                <c:pt idx="8">
                  <c:v>-960.33258165733059</c:v>
                </c:pt>
                <c:pt idx="9">
                  <c:v>1122.4726200902001</c:v>
                </c:pt>
                <c:pt idx="10">
                  <c:v>1676.2932696225321</c:v>
                </c:pt>
              </c:numCache>
            </c:numRef>
          </c:val>
        </c:ser>
        <c:gapWidth val="0"/>
        <c:axId val="109488384"/>
        <c:axId val="109498368"/>
      </c:barChart>
      <c:catAx>
        <c:axId val="109488384"/>
        <c:scaling>
          <c:orientation val="minMax"/>
        </c:scaling>
        <c:axPos val="b"/>
        <c:numFmt formatCode="General" sourceLinked="0"/>
        <c:majorTickMark val="none"/>
        <c:tickLblPos val="low"/>
        <c:txPr>
          <a:bodyPr/>
          <a:lstStyle/>
          <a:p>
            <a:pPr>
              <a:defRPr lang="id-ID"/>
            </a:pPr>
            <a:endParaRPr lang="en-US"/>
          </a:p>
        </c:txPr>
        <c:crossAx val="109498368"/>
        <c:crosses val="autoZero"/>
        <c:auto val="1"/>
        <c:lblAlgn val="ctr"/>
        <c:lblOffset val="100"/>
      </c:catAx>
      <c:valAx>
        <c:axId val="109498368"/>
        <c:scaling>
          <c:orientation val="minMax"/>
          <c:max val="1700"/>
          <c:min val="-1500"/>
        </c:scaling>
        <c:axPos val="l"/>
        <c:majorGridlines/>
        <c:title>
          <c:tx>
            <c:rich>
              <a:bodyPr/>
              <a:lstStyle/>
              <a:p>
                <a:pPr>
                  <a:defRPr lang="id-ID"/>
                </a:pPr>
                <a:r>
                  <a:rPr lang="id-ID"/>
                  <a:t>(Rp billion)</a:t>
                </a:r>
              </a:p>
            </c:rich>
          </c:tx>
        </c:title>
        <c:numFmt formatCode="#,##0_);\(#,##0\)" sourceLinked="1"/>
        <c:tickLblPos val="nextTo"/>
        <c:txPr>
          <a:bodyPr/>
          <a:lstStyle/>
          <a:p>
            <a:pPr>
              <a:defRPr lang="id-ID"/>
            </a:pPr>
            <a:endParaRPr lang="en-US"/>
          </a:p>
        </c:txPr>
        <c:crossAx val="109488384"/>
        <c:crosses val="autoZero"/>
        <c:crossBetween val="between"/>
      </c:valAx>
    </c:plotArea>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9"/>
            <c:spPr>
              <a:solidFill>
                <a:srgbClr val="FFC000"/>
              </a:solidFill>
            </c:spPr>
          </c:dPt>
          <c:dPt>
            <c:idx val="10"/>
            <c:spPr>
              <a:solidFill>
                <a:srgbClr val="FFC000"/>
              </a:solidFill>
            </c:spPr>
          </c:dPt>
          <c:dPt>
            <c:idx val="11"/>
            <c:spPr>
              <a:solidFill>
                <a:srgbClr val="FFC000"/>
              </a:solidFill>
            </c:spPr>
          </c:dPt>
          <c:dLbls>
            <c:spPr>
              <a:solidFill>
                <a:sysClr val="window" lastClr="FFFFFF"/>
              </a:solidFill>
            </c:spPr>
            <c:txPr>
              <a:bodyPr rot="-5400000" vert="horz"/>
              <a:lstStyle/>
              <a:p>
                <a:pPr>
                  <a:defRPr lang="id-ID" sz="900"/>
                </a:pPr>
                <a:endParaRPr lang="en-US"/>
              </a:p>
            </c:txPr>
            <c:dLblPos val="inEnd"/>
            <c:showVal val="1"/>
            <c:extLst>
              <c:ext xmlns:c15="http://schemas.microsoft.com/office/drawing/2012/chart" uri="{CE6537A1-D6FC-4f65-9D91-7224C49458BB}">
                <c15:showLeaderLines val="0"/>
              </c:ext>
            </c:extLst>
          </c:dLbls>
          <c:cat>
            <c:multiLvlStrRef>
              <c:f>'Grafik 3.28'!$O$29:$P$40</c:f>
              <c:multiLvlStrCache>
                <c:ptCount val="12"/>
                <c:lvl>
                  <c:pt idx="0">
                    <c:v>2009</c:v>
                  </c:pt>
                  <c:pt idx="1">
                    <c:v>2010</c:v>
                  </c:pt>
                  <c:pt idx="2">
                    <c:v>2011</c:v>
                  </c:pt>
                  <c:pt idx="3">
                    <c:v>2009</c:v>
                  </c:pt>
                  <c:pt idx="4">
                    <c:v>2010</c:v>
                  </c:pt>
                  <c:pt idx="5">
                    <c:v>2011</c:v>
                  </c:pt>
                  <c:pt idx="6">
                    <c:v>2009</c:v>
                  </c:pt>
                  <c:pt idx="7">
                    <c:v>2010</c:v>
                  </c:pt>
                  <c:pt idx="8">
                    <c:v>2011</c:v>
                  </c:pt>
                  <c:pt idx="9">
                    <c:v>2009</c:v>
                  </c:pt>
                  <c:pt idx="10">
                    <c:v>2010</c:v>
                  </c:pt>
                  <c:pt idx="11">
                    <c:v>2011</c:v>
                  </c:pt>
                </c:lvl>
                <c:lvl>
                  <c:pt idx="0">
                    <c:v>South Sumatra</c:v>
                  </c:pt>
                  <c:pt idx="3">
                    <c:v>West Kalimantan</c:v>
                  </c:pt>
                  <c:pt idx="6">
                    <c:v>East Kalimantan</c:v>
                  </c:pt>
                  <c:pt idx="9">
                    <c:v>Average National SiLPA (Province)</c:v>
                  </c:pt>
                </c:lvl>
              </c:multiLvlStrCache>
            </c:multiLvlStrRef>
          </c:cat>
          <c:val>
            <c:numRef>
              <c:f>'Grafik 3.28'!$Q$29:$Q$40</c:f>
              <c:numCache>
                <c:formatCode>0.0%</c:formatCode>
                <c:ptCount val="12"/>
                <c:pt idx="0">
                  <c:v>0.13455748436258017</c:v>
                </c:pt>
                <c:pt idx="1">
                  <c:v>0.12553921098790016</c:v>
                </c:pt>
                <c:pt idx="2">
                  <c:v>0.12537198525211088</c:v>
                </c:pt>
                <c:pt idx="3">
                  <c:v>0.106368441795441</c:v>
                </c:pt>
                <c:pt idx="4">
                  <c:v>0.13629794483028027</c:v>
                </c:pt>
                <c:pt idx="5">
                  <c:v>0.17159504499673123</c:v>
                </c:pt>
                <c:pt idx="6">
                  <c:v>0.11441536353823099</c:v>
                </c:pt>
                <c:pt idx="7">
                  <c:v>0.27919548668294608</c:v>
                </c:pt>
                <c:pt idx="8">
                  <c:v>0.34847462784674255</c:v>
                </c:pt>
                <c:pt idx="9">
                  <c:v>0.160633088242601</c:v>
                </c:pt>
                <c:pt idx="10">
                  <c:v>0.170475065509504</c:v>
                </c:pt>
                <c:pt idx="11">
                  <c:v>0.17464553234013899</c:v>
                </c:pt>
              </c:numCache>
            </c:numRef>
          </c:val>
        </c:ser>
        <c:gapWidth val="50"/>
        <c:axId val="109540096"/>
        <c:axId val="109541632"/>
      </c:barChart>
      <c:catAx>
        <c:axId val="109540096"/>
        <c:scaling>
          <c:orientation val="minMax"/>
        </c:scaling>
        <c:axPos val="b"/>
        <c:numFmt formatCode="General" sourceLinked="0"/>
        <c:tickLblPos val="nextTo"/>
        <c:txPr>
          <a:bodyPr rot="-5400000" vert="horz"/>
          <a:lstStyle/>
          <a:p>
            <a:pPr>
              <a:defRPr lang="id-ID" sz="900"/>
            </a:pPr>
            <a:endParaRPr lang="en-US"/>
          </a:p>
        </c:txPr>
        <c:crossAx val="109541632"/>
        <c:crosses val="autoZero"/>
        <c:auto val="1"/>
        <c:lblAlgn val="ctr"/>
        <c:lblOffset val="100"/>
      </c:catAx>
      <c:valAx>
        <c:axId val="109541632"/>
        <c:scaling>
          <c:orientation val="minMax"/>
        </c:scaling>
        <c:axPos val="l"/>
        <c:majorGridlines/>
        <c:numFmt formatCode="0.0%" sourceLinked="1"/>
        <c:tickLblPos val="nextTo"/>
        <c:txPr>
          <a:bodyPr/>
          <a:lstStyle/>
          <a:p>
            <a:pPr>
              <a:defRPr lang="id-ID"/>
            </a:pPr>
            <a:endParaRPr lang="en-US"/>
          </a:p>
        </c:txPr>
        <c:crossAx val="109540096"/>
        <c:crosses val="autoZero"/>
        <c:crossBetween val="between"/>
      </c:valAx>
    </c:plotArea>
    <c:plotVisOnly val="1"/>
    <c:dispBlanksAs val="gap"/>
  </c:chart>
  <c:txPr>
    <a:bodyPr/>
    <a:lstStyle/>
    <a:p>
      <a:pPr>
        <a:defRPr>
          <a:latin typeface="+mj-lt"/>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414617091782613"/>
          <c:y val="0.11986575981407908"/>
          <c:w val="0.76610910122721099"/>
          <c:h val="0.58223251505325491"/>
        </c:manualLayout>
      </c:layout>
      <c:barChart>
        <c:barDir val="col"/>
        <c:grouping val="clustered"/>
        <c:ser>
          <c:idx val="0"/>
          <c:order val="0"/>
          <c:cat>
            <c:multiLvlStrRef>
              <c:f>'Grafik 3.29'!$C$6:$D$17</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3.29'!$E$6:$E$17</c:f>
              <c:numCache>
                <c:formatCode>#,##0</c:formatCode>
                <c:ptCount val="12"/>
                <c:pt idx="0">
                  <c:v>253875.29418767529</c:v>
                </c:pt>
                <c:pt idx="1">
                  <c:v>333430.47666358162</c:v>
                </c:pt>
                <c:pt idx="2">
                  <c:v>428915.34981661569</c:v>
                </c:pt>
                <c:pt idx="3">
                  <c:v>447250.32697863033</c:v>
                </c:pt>
                <c:pt idx="4">
                  <c:v>271694.6888201611</c:v>
                </c:pt>
                <c:pt idx="5">
                  <c:v>317247.48406013392</c:v>
                </c:pt>
                <c:pt idx="6">
                  <c:v>378723.03144910728</c:v>
                </c:pt>
                <c:pt idx="7">
                  <c:v>391933.59211324522</c:v>
                </c:pt>
                <c:pt idx="8">
                  <c:v>1463179.2801370714</c:v>
                </c:pt>
                <c:pt idx="9">
                  <c:v>1893923.1676042711</c:v>
                </c:pt>
                <c:pt idx="10">
                  <c:v>2542644.34422071</c:v>
                </c:pt>
                <c:pt idx="11">
                  <c:v>2076219.2378384911</c:v>
                </c:pt>
              </c:numCache>
            </c:numRef>
          </c:val>
        </c:ser>
        <c:gapWidth val="25"/>
        <c:axId val="109572096"/>
        <c:axId val="109573632"/>
      </c:barChart>
      <c:lineChart>
        <c:grouping val="standard"/>
        <c:ser>
          <c:idx val="1"/>
          <c:order val="1"/>
          <c:spPr>
            <a:ln>
              <a:noFill/>
            </a:ln>
          </c:spPr>
          <c:marker>
            <c:symbol val="diamond"/>
            <c:size val="7"/>
          </c:marker>
          <c:dLbls>
            <c:spPr>
              <a:solidFill>
                <a:schemeClr val="accent2"/>
              </a:solidFill>
            </c:spPr>
            <c:txPr>
              <a:bodyPr/>
              <a:lstStyle/>
              <a:p>
                <a:pPr>
                  <a:defRPr lang="id-ID" sz="700"/>
                </a:pPr>
                <a:endParaRPr lang="en-US"/>
              </a:p>
            </c:txPr>
            <c:dLblPos val="t"/>
            <c:showVal val="1"/>
            <c:extLst>
              <c:ext xmlns:c15="http://schemas.microsoft.com/office/drawing/2012/chart" uri="{CE6537A1-D6FC-4f65-9D91-7224C49458BB}">
                <c15:showLeaderLines val="0"/>
              </c:ext>
            </c:extLst>
          </c:dLbls>
          <c:cat>
            <c:multiLvlStrRef>
              <c:f>'Grafik 3.29'!$C$6:$D$17</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3.29'!$F$6:$F$17</c:f>
              <c:numCache>
                <c:formatCode>0%</c:formatCode>
                <c:ptCount val="12"/>
                <c:pt idx="0">
                  <c:v>0.69101755813808563</c:v>
                </c:pt>
                <c:pt idx="1">
                  <c:v>0.70083666005359779</c:v>
                </c:pt>
                <c:pt idx="2">
                  <c:v>0.78393020226071863</c:v>
                </c:pt>
                <c:pt idx="3">
                  <c:v>0.67428741065835096</c:v>
                </c:pt>
                <c:pt idx="4">
                  <c:v>0.66297196508095702</c:v>
                </c:pt>
                <c:pt idx="5">
                  <c:v>0.71268038506226405</c:v>
                </c:pt>
                <c:pt idx="6">
                  <c:v>0.73509880925006665</c:v>
                </c:pt>
                <c:pt idx="7">
                  <c:v>0.6068416753793956</c:v>
                </c:pt>
                <c:pt idx="8">
                  <c:v>0.85122710993965756</c:v>
                </c:pt>
                <c:pt idx="9">
                  <c:v>0.86875140279936791</c:v>
                </c:pt>
                <c:pt idx="10">
                  <c:v>0.89450907573358263</c:v>
                </c:pt>
                <c:pt idx="11">
                  <c:v>0.80985480518775399</c:v>
                </c:pt>
              </c:numCache>
            </c:numRef>
          </c:val>
        </c:ser>
        <c:dropLines/>
        <c:marker val="1"/>
        <c:axId val="109696128"/>
        <c:axId val="109575552"/>
      </c:lineChart>
      <c:catAx>
        <c:axId val="109572096"/>
        <c:scaling>
          <c:orientation val="minMax"/>
        </c:scaling>
        <c:axPos val="b"/>
        <c:numFmt formatCode="General" sourceLinked="0"/>
        <c:tickLblPos val="nextTo"/>
        <c:txPr>
          <a:bodyPr/>
          <a:lstStyle/>
          <a:p>
            <a:pPr>
              <a:defRPr lang="id-ID"/>
            </a:pPr>
            <a:endParaRPr lang="en-US"/>
          </a:p>
        </c:txPr>
        <c:crossAx val="109573632"/>
        <c:crosses val="autoZero"/>
        <c:auto val="1"/>
        <c:lblAlgn val="ctr"/>
        <c:lblOffset val="100"/>
      </c:catAx>
      <c:valAx>
        <c:axId val="109573632"/>
        <c:scaling>
          <c:orientation val="minMax"/>
        </c:scaling>
        <c:axPos val="l"/>
        <c:majorGridlines/>
        <c:numFmt formatCode="#,##0.0" sourceLinked="0"/>
        <c:tickLblPos val="nextTo"/>
        <c:txPr>
          <a:bodyPr rot="0" vert="horz"/>
          <a:lstStyle/>
          <a:p>
            <a:pPr>
              <a:defRPr lang="id-ID"/>
            </a:pPr>
            <a:endParaRPr lang="en-US"/>
          </a:p>
        </c:txPr>
        <c:crossAx val="109572096"/>
        <c:crosses val="autoZero"/>
        <c:crossBetween val="between"/>
        <c:majorUnit val="1000000"/>
        <c:dispUnits>
          <c:builtInUnit val="millions"/>
          <c:dispUnitsLbl>
            <c:layout>
              <c:manualLayout>
                <c:xMode val="edge"/>
                <c:yMode val="edge"/>
                <c:x val="1.0895416654244898E-2"/>
                <c:y val="0.17991079382328823"/>
              </c:manualLayout>
            </c:layout>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id-ID" sz="1000" b="1" i="0" u="none" strike="noStrike" kern="1200" baseline="0">
                      <a:solidFill>
                        <a:sysClr val="windowText" lastClr="000000"/>
                      </a:solidFill>
                      <a:latin typeface="+mn-lt"/>
                      <a:ea typeface="+mn-ea"/>
                      <a:cs typeface="+mn-cs"/>
                    </a:defRPr>
                  </a:pPr>
                  <a:r>
                    <a:rPr lang="en-US" sz="800" b="1" i="0" baseline="0">
                      <a:effectLst/>
                    </a:rPr>
                    <a:t>Rp million/per capita/year</a:t>
                  </a:r>
                  <a:endParaRPr lang="id-ID" sz="800">
                    <a:effectLst/>
                  </a:endParaRPr>
                </a:p>
                <a:p>
                  <a:pPr marL="0" marR="0" indent="0" algn="ctr" defTabSz="914400" rtl="0" eaLnBrk="1" fontAlgn="auto" latinLnBrk="0" hangingPunct="1">
                    <a:lnSpc>
                      <a:spcPct val="100000"/>
                    </a:lnSpc>
                    <a:spcBef>
                      <a:spcPts val="0"/>
                    </a:spcBef>
                    <a:spcAft>
                      <a:spcPts val="0"/>
                    </a:spcAft>
                    <a:buClrTx/>
                    <a:buSzTx/>
                    <a:buFontTx/>
                    <a:buNone/>
                    <a:tabLst/>
                    <a:defRPr lang="id-ID" sz="1000" b="1" i="0" u="none" strike="noStrike" kern="1200" baseline="0">
                      <a:solidFill>
                        <a:sysClr val="windowText" lastClr="000000"/>
                      </a:solidFill>
                      <a:latin typeface="+mn-lt"/>
                      <a:ea typeface="+mn-ea"/>
                      <a:cs typeface="+mn-cs"/>
                    </a:defRPr>
                  </a:pPr>
                  <a:endParaRPr lang="id-ID" sz="800"/>
                </a:p>
              </c:rich>
            </c:tx>
          </c:dispUnitsLbl>
        </c:dispUnits>
      </c:valAx>
      <c:valAx>
        <c:axId val="109575552"/>
        <c:scaling>
          <c:orientation val="minMax"/>
        </c:scaling>
        <c:axPos val="r"/>
        <c:numFmt formatCode="0%" sourceLinked="1"/>
        <c:tickLblPos val="nextTo"/>
        <c:txPr>
          <a:bodyPr/>
          <a:lstStyle/>
          <a:p>
            <a:pPr>
              <a:defRPr lang="id-ID"/>
            </a:pPr>
            <a:endParaRPr lang="en-US"/>
          </a:p>
        </c:txPr>
        <c:crossAx val="109696128"/>
        <c:crosses val="max"/>
        <c:crossBetween val="between"/>
      </c:valAx>
      <c:catAx>
        <c:axId val="109696128"/>
        <c:scaling>
          <c:orientation val="minMax"/>
        </c:scaling>
        <c:delete val="1"/>
        <c:axPos val="b"/>
        <c:numFmt formatCode="General" sourceLinked="1"/>
        <c:tickLblPos val="none"/>
        <c:crossAx val="109575552"/>
        <c:crosses val="autoZero"/>
        <c:auto val="1"/>
        <c:lblAlgn val="ctr"/>
        <c:lblOffset val="100"/>
      </c:cat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percentStacked"/>
        <c:ser>
          <c:idx val="0"/>
          <c:order val="0"/>
          <c:tx>
            <c:strRef>
              <c:f>'Grafik 3.2'!$E$7</c:f>
              <c:strCache>
                <c:ptCount val="1"/>
                <c:pt idx="0">
                  <c:v>PAD</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3.2'!$C$8:$D$19</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3.2'!$E$8:$E$19</c:f>
              <c:numCache>
                <c:formatCode>0%</c:formatCode>
                <c:ptCount val="12"/>
                <c:pt idx="0">
                  <c:v>0.43972931166935753</c:v>
                </c:pt>
                <c:pt idx="1">
                  <c:v>0.42510414411795633</c:v>
                </c:pt>
                <c:pt idx="2">
                  <c:v>0.46648005171596646</c:v>
                </c:pt>
                <c:pt idx="3">
                  <c:v>0.38461081025118898</c:v>
                </c:pt>
                <c:pt idx="4">
                  <c:v>0.36732259212334373</c:v>
                </c:pt>
                <c:pt idx="5">
                  <c:v>0.43691678062290773</c:v>
                </c:pt>
                <c:pt idx="6">
                  <c:v>0.49061520816668402</c:v>
                </c:pt>
                <c:pt idx="7">
                  <c:v>0.39239589141839998</c:v>
                </c:pt>
                <c:pt idx="8">
                  <c:v>0.41285091854218098</c:v>
                </c:pt>
                <c:pt idx="9">
                  <c:v>0.38507084468771346</c:v>
                </c:pt>
                <c:pt idx="10">
                  <c:v>0.45864308472854676</c:v>
                </c:pt>
                <c:pt idx="11">
                  <c:v>0.47193085686570602</c:v>
                </c:pt>
              </c:numCache>
            </c:numRef>
          </c:val>
        </c:ser>
        <c:ser>
          <c:idx val="1"/>
          <c:order val="1"/>
          <c:tx>
            <c:strRef>
              <c:f>'Grafik 3.2'!$F$7</c:f>
              <c:strCache>
                <c:ptCount val="1"/>
                <c:pt idx="0">
                  <c:v>DAPER</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3.2'!$C$8:$D$19</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3.2'!$F$8:$F$19</c:f>
              <c:numCache>
                <c:formatCode>0%</c:formatCode>
                <c:ptCount val="12"/>
                <c:pt idx="0">
                  <c:v>0.55602004565081264</c:v>
                </c:pt>
                <c:pt idx="1">
                  <c:v>0.56571264462701498</c:v>
                </c:pt>
                <c:pt idx="2">
                  <c:v>0.5026651254789295</c:v>
                </c:pt>
                <c:pt idx="3">
                  <c:v>0.44644897405836997</c:v>
                </c:pt>
                <c:pt idx="4">
                  <c:v>0.57715569287819946</c:v>
                </c:pt>
                <c:pt idx="5">
                  <c:v>0.51752327107643159</c:v>
                </c:pt>
                <c:pt idx="6">
                  <c:v>0.47128826529279266</c:v>
                </c:pt>
                <c:pt idx="7">
                  <c:v>0.42561467501910755</c:v>
                </c:pt>
                <c:pt idx="8">
                  <c:v>0.58362541720497796</c:v>
                </c:pt>
                <c:pt idx="9">
                  <c:v>0.61188394291637704</c:v>
                </c:pt>
                <c:pt idx="10">
                  <c:v>0.5393187413064302</c:v>
                </c:pt>
                <c:pt idx="11">
                  <c:v>0.4825862586645594</c:v>
                </c:pt>
              </c:numCache>
            </c:numRef>
          </c:val>
        </c:ser>
        <c:ser>
          <c:idx val="2"/>
          <c:order val="2"/>
          <c:tx>
            <c:strRef>
              <c:f>'Grafik 3.2'!$G$7</c:f>
              <c:strCache>
                <c:ptCount val="1"/>
                <c:pt idx="0">
                  <c:v>LPDS</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3.2'!$C$8:$D$19</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3.2'!$G$8:$G$19</c:f>
              <c:numCache>
                <c:formatCode>0%</c:formatCode>
                <c:ptCount val="12"/>
                <c:pt idx="0">
                  <c:v>4.2506426798313793E-3</c:v>
                </c:pt>
                <c:pt idx="1">
                  <c:v>9.1832112550289148E-3</c:v>
                </c:pt>
                <c:pt idx="2">
                  <c:v>3.0854822805104216E-2</c:v>
                </c:pt>
                <c:pt idx="3">
                  <c:v>0.16894021569044124</c:v>
                </c:pt>
                <c:pt idx="4">
                  <c:v>5.5521714998458704E-2</c:v>
                </c:pt>
                <c:pt idx="5">
                  <c:v>4.5559948300661145E-2</c:v>
                </c:pt>
                <c:pt idx="6">
                  <c:v>3.8096526540523402E-2</c:v>
                </c:pt>
                <c:pt idx="7">
                  <c:v>0.18198943356249367</c:v>
                </c:pt>
                <c:pt idx="8">
                  <c:v>3.5236642528419602E-3</c:v>
                </c:pt>
                <c:pt idx="9">
                  <c:v>3.0452123959105299E-3</c:v>
                </c:pt>
                <c:pt idx="10">
                  <c:v>2.0381739650224646E-3</c:v>
                </c:pt>
                <c:pt idx="11">
                  <c:v>4.5482884469735432E-2</c:v>
                </c:pt>
              </c:numCache>
            </c:numRef>
          </c:val>
        </c:ser>
        <c:gapWidth val="20"/>
        <c:overlap val="100"/>
        <c:axId val="89672320"/>
        <c:axId val="89678208"/>
      </c:barChart>
      <c:catAx>
        <c:axId val="89672320"/>
        <c:scaling>
          <c:orientation val="minMax"/>
        </c:scaling>
        <c:axPos val="l"/>
        <c:numFmt formatCode="General" sourceLinked="0"/>
        <c:tickLblPos val="nextTo"/>
        <c:txPr>
          <a:bodyPr/>
          <a:lstStyle/>
          <a:p>
            <a:pPr>
              <a:defRPr lang="id-ID"/>
            </a:pPr>
            <a:endParaRPr lang="en-US"/>
          </a:p>
        </c:txPr>
        <c:crossAx val="89678208"/>
        <c:crosses val="autoZero"/>
        <c:auto val="1"/>
        <c:lblAlgn val="ctr"/>
        <c:lblOffset val="100"/>
      </c:catAx>
      <c:valAx>
        <c:axId val="89678208"/>
        <c:scaling>
          <c:orientation val="minMax"/>
        </c:scaling>
        <c:axPos val="b"/>
        <c:majorGridlines/>
        <c:numFmt formatCode="0%" sourceLinked="1"/>
        <c:tickLblPos val="nextTo"/>
        <c:txPr>
          <a:bodyPr/>
          <a:lstStyle/>
          <a:p>
            <a:pPr>
              <a:defRPr lang="id-ID"/>
            </a:pPr>
            <a:endParaRPr lang="en-US"/>
          </a:p>
        </c:txPr>
        <c:crossAx val="89672320"/>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 3.30'!$E$18</c:f>
              <c:strCache>
                <c:ptCount val="1"/>
                <c:pt idx="0">
                  <c:v>Fiscal Space Per Capita</c:v>
                </c:pt>
              </c:strCache>
            </c:strRef>
          </c:tx>
          <c:cat>
            <c:multiLvlStrRef>
              <c:f>'Grafik 3.30'!$C$19:$D$42</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 Sintang</c:v>
                  </c:pt>
                  <c:pt idx="12">
                    <c:v>Kubu Raya</c:v>
                  </c:pt>
                  <c:pt idx="16">
                    <c:v> Berau</c:v>
                  </c:pt>
                  <c:pt idx="20">
                    <c:v>Bulungan</c:v>
                  </c:pt>
                </c:lvl>
              </c:multiLvlStrCache>
            </c:multiLvlStrRef>
          </c:cat>
          <c:val>
            <c:numRef>
              <c:f>'Grafik 3.30'!$E$19:$E$42</c:f>
              <c:numCache>
                <c:formatCode>#,##0</c:formatCode>
                <c:ptCount val="24"/>
                <c:pt idx="0">
                  <c:v>1555366.4836816997</c:v>
                </c:pt>
                <c:pt idx="1">
                  <c:v>2313554.7406182699</c:v>
                </c:pt>
                <c:pt idx="2">
                  <c:v>2718461.8496503271</c:v>
                </c:pt>
                <c:pt idx="3">
                  <c:v>2402525.8607070171</c:v>
                </c:pt>
                <c:pt idx="4">
                  <c:v>808159.77976731188</c:v>
                </c:pt>
                <c:pt idx="5">
                  <c:v>1002632.3003137592</c:v>
                </c:pt>
                <c:pt idx="6">
                  <c:v>1173641.91647116</c:v>
                </c:pt>
                <c:pt idx="7">
                  <c:v>1149893.8317378501</c:v>
                </c:pt>
                <c:pt idx="8">
                  <c:v>965072.75518400152</c:v>
                </c:pt>
                <c:pt idx="9">
                  <c:v>866548.15052770905</c:v>
                </c:pt>
                <c:pt idx="10">
                  <c:v>949861.74037403078</c:v>
                </c:pt>
                <c:pt idx="11">
                  <c:v>949962.08486392046</c:v>
                </c:pt>
                <c:pt idx="12">
                  <c:v>475987.28661157214</c:v>
                </c:pt>
                <c:pt idx="13">
                  <c:v>460614.94332179648</c:v>
                </c:pt>
                <c:pt idx="14">
                  <c:v>641647.69698360446</c:v>
                </c:pt>
                <c:pt idx="15">
                  <c:v>629835.09032361873</c:v>
                </c:pt>
                <c:pt idx="16">
                  <c:v>5029924.5306754699</c:v>
                </c:pt>
                <c:pt idx="17">
                  <c:v>4439494.8995605297</c:v>
                </c:pt>
                <c:pt idx="18">
                  <c:v>6990313.1404821975</c:v>
                </c:pt>
                <c:pt idx="19">
                  <c:v>3657877.6152568497</c:v>
                </c:pt>
                <c:pt idx="20">
                  <c:v>7070670.6492669825</c:v>
                </c:pt>
                <c:pt idx="21">
                  <c:v>6716841.8696447192</c:v>
                </c:pt>
                <c:pt idx="22">
                  <c:v>8166224.3826641524</c:v>
                </c:pt>
                <c:pt idx="23">
                  <c:v>3476811.2890973501</c:v>
                </c:pt>
              </c:numCache>
            </c:numRef>
          </c:val>
        </c:ser>
        <c:gapWidth val="25"/>
        <c:axId val="109795968"/>
        <c:axId val="110170496"/>
      </c:barChart>
      <c:lineChart>
        <c:grouping val="standard"/>
        <c:ser>
          <c:idx val="2"/>
          <c:order val="2"/>
          <c:tx>
            <c:strRef>
              <c:f>'Grafik 3.30'!$G$18</c:f>
              <c:strCache>
                <c:ptCount val="1"/>
                <c:pt idx="0">
                  <c:v>National Average Fiscal Space</c:v>
                </c:pt>
              </c:strCache>
            </c:strRef>
          </c:tx>
          <c:spPr>
            <a:ln w="28575">
              <a:solidFill>
                <a:schemeClr val="tx1"/>
              </a:solidFill>
            </a:ln>
          </c:spPr>
          <c:marker>
            <c:symbol val="none"/>
          </c:marker>
          <c:dLbls>
            <c:dLbl>
              <c:idx val="0"/>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multiLvlStrRef>
              <c:f>'Grafik 3.30'!$C$19:$D$42</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 Sintang</c:v>
                  </c:pt>
                  <c:pt idx="12">
                    <c:v>Kubu Raya</c:v>
                  </c:pt>
                  <c:pt idx="16">
                    <c:v> Berau</c:v>
                  </c:pt>
                  <c:pt idx="20">
                    <c:v>Bulungan</c:v>
                  </c:pt>
                </c:lvl>
              </c:multiLvlStrCache>
            </c:multiLvlStrRef>
          </c:cat>
          <c:val>
            <c:numRef>
              <c:f>'Grafik 3.30'!$G$19:$G$42</c:f>
              <c:numCache>
                <c:formatCode>#,##0</c:formatCode>
                <c:ptCount val="24"/>
                <c:pt idx="0">
                  <c:v>539538.41632643505</c:v>
                </c:pt>
                <c:pt idx="1">
                  <c:v>539538.41632643505</c:v>
                </c:pt>
                <c:pt idx="2">
                  <c:v>539538.41632643505</c:v>
                </c:pt>
                <c:pt idx="3">
                  <c:v>539538.41632643505</c:v>
                </c:pt>
                <c:pt idx="4">
                  <c:v>539538.41632643505</c:v>
                </c:pt>
                <c:pt idx="5">
                  <c:v>539538.41632643505</c:v>
                </c:pt>
                <c:pt idx="6">
                  <c:v>539538.41632643505</c:v>
                </c:pt>
                <c:pt idx="7">
                  <c:v>539538.41632643505</c:v>
                </c:pt>
                <c:pt idx="8">
                  <c:v>539538.41632643505</c:v>
                </c:pt>
                <c:pt idx="9">
                  <c:v>539538.41632643505</c:v>
                </c:pt>
                <c:pt idx="10">
                  <c:v>539538.41632643505</c:v>
                </c:pt>
                <c:pt idx="11">
                  <c:v>539538.41632643505</c:v>
                </c:pt>
                <c:pt idx="12">
                  <c:v>539538.41632643505</c:v>
                </c:pt>
                <c:pt idx="13">
                  <c:v>539538.41632643505</c:v>
                </c:pt>
                <c:pt idx="14">
                  <c:v>539538.41632643505</c:v>
                </c:pt>
                <c:pt idx="15">
                  <c:v>539538.41632643505</c:v>
                </c:pt>
                <c:pt idx="16">
                  <c:v>539538.41632643505</c:v>
                </c:pt>
                <c:pt idx="17">
                  <c:v>539538.41632643505</c:v>
                </c:pt>
                <c:pt idx="18">
                  <c:v>539538.41632643505</c:v>
                </c:pt>
                <c:pt idx="19">
                  <c:v>539538.41632643505</c:v>
                </c:pt>
                <c:pt idx="20">
                  <c:v>539538.41632643505</c:v>
                </c:pt>
                <c:pt idx="21">
                  <c:v>539538.41632643505</c:v>
                </c:pt>
                <c:pt idx="22">
                  <c:v>539538.41632643505</c:v>
                </c:pt>
                <c:pt idx="23">
                  <c:v>539538.41632643505</c:v>
                </c:pt>
              </c:numCache>
            </c:numRef>
          </c:val>
        </c:ser>
        <c:marker val="1"/>
        <c:axId val="109795968"/>
        <c:axId val="110170496"/>
      </c:lineChart>
      <c:lineChart>
        <c:grouping val="standard"/>
        <c:ser>
          <c:idx val="1"/>
          <c:order val="1"/>
          <c:tx>
            <c:strRef>
              <c:f>'Grafik 3.30'!$F$18</c:f>
              <c:strCache>
                <c:ptCount val="1"/>
                <c:pt idx="0">
                  <c:v>Ratio of Fiscal Space to Revenue</c:v>
                </c:pt>
              </c:strCache>
            </c:strRef>
          </c:tx>
          <c:spPr>
            <a:ln>
              <a:noFill/>
            </a:ln>
          </c:spPr>
          <c:marker>
            <c:symbol val="diamond"/>
            <c:size val="7"/>
          </c:marker>
          <c:dLbls>
            <c:spPr>
              <a:solidFill>
                <a:schemeClr val="accent2"/>
              </a:solidFill>
            </c:spPr>
            <c:txPr>
              <a:bodyPr/>
              <a:lstStyle/>
              <a:p>
                <a:pPr>
                  <a:defRPr lang="id-ID" sz="700"/>
                </a:pPr>
                <a:endParaRPr lang="en-US"/>
              </a:p>
            </c:txPr>
            <c:dLblPos val="t"/>
            <c:showVal val="1"/>
            <c:extLst>
              <c:ext xmlns:c15="http://schemas.microsoft.com/office/drawing/2012/chart" uri="{CE6537A1-D6FC-4f65-9D91-7224C49458BB}">
                <c15:showLeaderLines val="0"/>
              </c:ext>
            </c:extLst>
          </c:dLbls>
          <c:cat>
            <c:multiLvlStrRef>
              <c:f>'Grafik 3.30'!$C$19:$D$42</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 Sintang</c:v>
                  </c:pt>
                  <c:pt idx="12">
                    <c:v>Kubu Raya</c:v>
                  </c:pt>
                  <c:pt idx="16">
                    <c:v> Berau</c:v>
                  </c:pt>
                  <c:pt idx="20">
                    <c:v>Bulungan</c:v>
                  </c:pt>
                </c:lvl>
              </c:multiLvlStrCache>
            </c:multiLvlStrRef>
          </c:cat>
          <c:val>
            <c:numRef>
              <c:f>'Grafik 3.30'!$F$19:$F$42</c:f>
              <c:numCache>
                <c:formatCode>0%</c:formatCode>
                <c:ptCount val="24"/>
                <c:pt idx="0">
                  <c:v>0.65032212206162499</c:v>
                </c:pt>
                <c:pt idx="1">
                  <c:v>0.64587757605838148</c:v>
                </c:pt>
                <c:pt idx="2">
                  <c:v>0.68668621418235098</c:v>
                </c:pt>
                <c:pt idx="3">
                  <c:v>0.63744312465469166</c:v>
                </c:pt>
                <c:pt idx="4">
                  <c:v>0.46238357951716946</c:v>
                </c:pt>
                <c:pt idx="5">
                  <c:v>0.47803516576297633</c:v>
                </c:pt>
                <c:pt idx="6">
                  <c:v>0.48679156555181102</c:v>
                </c:pt>
                <c:pt idx="7">
                  <c:v>0.49940138901271147</c:v>
                </c:pt>
                <c:pt idx="8">
                  <c:v>0.47086008695834147</c:v>
                </c:pt>
                <c:pt idx="9">
                  <c:v>0.39661279724676579</c:v>
                </c:pt>
                <c:pt idx="10">
                  <c:v>0.39627117845069698</c:v>
                </c:pt>
                <c:pt idx="11">
                  <c:v>0.42776898196332847</c:v>
                </c:pt>
                <c:pt idx="12">
                  <c:v>0.43909644830283939</c:v>
                </c:pt>
                <c:pt idx="13">
                  <c:v>0.344227559548058</c:v>
                </c:pt>
                <c:pt idx="14">
                  <c:v>0.4195223476102154</c:v>
                </c:pt>
                <c:pt idx="15">
                  <c:v>0.39713235243673567</c:v>
                </c:pt>
                <c:pt idx="16">
                  <c:v>0.66671493048672992</c:v>
                </c:pt>
                <c:pt idx="17">
                  <c:v>0.61200906771856678</c:v>
                </c:pt>
                <c:pt idx="18">
                  <c:v>0.71535151467698666</c:v>
                </c:pt>
                <c:pt idx="19">
                  <c:v>0.52190554163530001</c:v>
                </c:pt>
                <c:pt idx="20">
                  <c:v>0.70147480245046478</c:v>
                </c:pt>
                <c:pt idx="21">
                  <c:v>0.68193343052674205</c:v>
                </c:pt>
                <c:pt idx="22">
                  <c:v>0.68502469402684663</c:v>
                </c:pt>
                <c:pt idx="23">
                  <c:v>0.39861860680044076</c:v>
                </c:pt>
              </c:numCache>
            </c:numRef>
          </c:val>
        </c:ser>
        <c:ser>
          <c:idx val="3"/>
          <c:order val="3"/>
          <c:tx>
            <c:strRef>
              <c:f>'Grafik 3.30'!$H$18</c:f>
              <c:strCache>
                <c:ptCount val="1"/>
                <c:pt idx="0">
                  <c:v>National Average Fiscal Space Ratio</c:v>
                </c:pt>
              </c:strCache>
            </c:strRef>
          </c:tx>
          <c:spPr>
            <a:ln w="28575">
              <a:solidFill>
                <a:srgbClr val="C00000"/>
              </a:solidFill>
            </a:ln>
          </c:spPr>
          <c:marker>
            <c:symbol val="none"/>
          </c:marker>
          <c:dLbls>
            <c:dLbl>
              <c:idx val="0"/>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multiLvlStrRef>
              <c:f>'Grafik 3.30'!$C$19:$D$42</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 Sintang</c:v>
                  </c:pt>
                  <c:pt idx="12">
                    <c:v>Kubu Raya</c:v>
                  </c:pt>
                  <c:pt idx="16">
                    <c:v> Berau</c:v>
                  </c:pt>
                  <c:pt idx="20">
                    <c:v>Bulungan</c:v>
                  </c:pt>
                </c:lvl>
              </c:multiLvlStrCache>
            </c:multiLvlStrRef>
          </c:cat>
          <c:val>
            <c:numRef>
              <c:f>'Grafik 3.30'!$H$19:$H$42</c:f>
              <c:numCache>
                <c:formatCode>0%</c:formatCode>
                <c:ptCount val="24"/>
                <c:pt idx="0">
                  <c:v>0.34550559398333802</c:v>
                </c:pt>
                <c:pt idx="1">
                  <c:v>0.34550559398333802</c:v>
                </c:pt>
                <c:pt idx="2">
                  <c:v>0.34550559398333802</c:v>
                </c:pt>
                <c:pt idx="3">
                  <c:v>0.34550559398333802</c:v>
                </c:pt>
                <c:pt idx="4">
                  <c:v>0.34550559398333802</c:v>
                </c:pt>
                <c:pt idx="5">
                  <c:v>0.34550559398333802</c:v>
                </c:pt>
                <c:pt idx="6">
                  <c:v>0.34550559398333802</c:v>
                </c:pt>
                <c:pt idx="7">
                  <c:v>0.34550559398333802</c:v>
                </c:pt>
                <c:pt idx="8">
                  <c:v>0.34550559398333802</c:v>
                </c:pt>
                <c:pt idx="9">
                  <c:v>0.34550559398333802</c:v>
                </c:pt>
                <c:pt idx="10">
                  <c:v>0.34550559398333802</c:v>
                </c:pt>
                <c:pt idx="11">
                  <c:v>0.34550559398333802</c:v>
                </c:pt>
                <c:pt idx="12">
                  <c:v>0.34550559398333802</c:v>
                </c:pt>
                <c:pt idx="13">
                  <c:v>0.34550559398333802</c:v>
                </c:pt>
                <c:pt idx="14">
                  <c:v>0.34550559398333802</c:v>
                </c:pt>
                <c:pt idx="15">
                  <c:v>0.34550559398333802</c:v>
                </c:pt>
                <c:pt idx="16">
                  <c:v>0.34550559398333802</c:v>
                </c:pt>
                <c:pt idx="17">
                  <c:v>0.34550559398333802</c:v>
                </c:pt>
                <c:pt idx="18">
                  <c:v>0.34550559398333802</c:v>
                </c:pt>
                <c:pt idx="19">
                  <c:v>0.34550559398333802</c:v>
                </c:pt>
                <c:pt idx="20">
                  <c:v>0.34550559398333802</c:v>
                </c:pt>
                <c:pt idx="21">
                  <c:v>0.34550559398333802</c:v>
                </c:pt>
                <c:pt idx="22">
                  <c:v>0.34550559398333802</c:v>
                </c:pt>
                <c:pt idx="23">
                  <c:v>0.34550559398333802</c:v>
                </c:pt>
              </c:numCache>
            </c:numRef>
          </c:val>
        </c:ser>
        <c:marker val="1"/>
        <c:axId val="110182400"/>
        <c:axId val="110172416"/>
      </c:lineChart>
      <c:catAx>
        <c:axId val="109795968"/>
        <c:scaling>
          <c:orientation val="minMax"/>
        </c:scaling>
        <c:axPos val="b"/>
        <c:numFmt formatCode="General" sourceLinked="0"/>
        <c:tickLblPos val="nextTo"/>
        <c:txPr>
          <a:bodyPr/>
          <a:lstStyle/>
          <a:p>
            <a:pPr>
              <a:defRPr lang="id-ID"/>
            </a:pPr>
            <a:endParaRPr lang="en-US"/>
          </a:p>
        </c:txPr>
        <c:crossAx val="110170496"/>
        <c:crosses val="autoZero"/>
        <c:auto val="1"/>
        <c:lblAlgn val="ctr"/>
        <c:lblOffset val="100"/>
      </c:catAx>
      <c:valAx>
        <c:axId val="110170496"/>
        <c:scaling>
          <c:orientation val="minMax"/>
        </c:scaling>
        <c:axPos val="l"/>
        <c:majorGridlines/>
        <c:numFmt formatCode="#,##0.0" sourceLinked="0"/>
        <c:tickLblPos val="nextTo"/>
        <c:txPr>
          <a:bodyPr/>
          <a:lstStyle/>
          <a:p>
            <a:pPr>
              <a:defRPr lang="id-ID"/>
            </a:pPr>
            <a:endParaRPr lang="en-US"/>
          </a:p>
        </c:txPr>
        <c:crossAx val="109795968"/>
        <c:crosses val="autoZero"/>
        <c:crossBetween val="between"/>
        <c:majorUnit val="1000000"/>
        <c:dispUnits>
          <c:builtInUnit val="millions"/>
          <c:dispUnitsLbl>
            <c:txPr>
              <a:bodyPr/>
              <a:lstStyle/>
              <a:p>
                <a:pPr>
                  <a:defRPr lang="id-ID"/>
                </a:pPr>
                <a:endParaRPr lang="en-US"/>
              </a:p>
            </c:txPr>
          </c:dispUnitsLbl>
        </c:dispUnits>
      </c:valAx>
      <c:valAx>
        <c:axId val="110172416"/>
        <c:scaling>
          <c:orientation val="minMax"/>
        </c:scaling>
        <c:axPos val="r"/>
        <c:numFmt formatCode="0%" sourceLinked="1"/>
        <c:tickLblPos val="nextTo"/>
        <c:txPr>
          <a:bodyPr/>
          <a:lstStyle/>
          <a:p>
            <a:pPr>
              <a:defRPr lang="id-ID"/>
            </a:pPr>
            <a:endParaRPr lang="en-US"/>
          </a:p>
        </c:txPr>
        <c:crossAx val="110182400"/>
        <c:crosses val="max"/>
        <c:crossBetween val="between"/>
      </c:valAx>
      <c:catAx>
        <c:axId val="110182400"/>
        <c:scaling>
          <c:orientation val="minMax"/>
        </c:scaling>
        <c:delete val="1"/>
        <c:axPos val="b"/>
        <c:numFmt formatCode="General" sourceLinked="1"/>
        <c:tickLblPos val="none"/>
        <c:crossAx val="110172416"/>
        <c:crosses val="autoZero"/>
        <c:auto val="1"/>
        <c:lblAlgn val="ctr"/>
        <c:lblOffset val="100"/>
      </c:catAx>
    </c:plotArea>
    <c:legend>
      <c:legendPos val="b"/>
      <c:txPr>
        <a:bodyPr/>
        <a:lstStyle/>
        <a:p>
          <a:pPr>
            <a:defRPr lang="id-ID"/>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percentStacked"/>
        <c:ser>
          <c:idx val="0"/>
          <c:order val="0"/>
          <c:tx>
            <c:strRef>
              <c:f>'Grafik 3.3'!$D$64</c:f>
              <c:strCache>
                <c:ptCount val="1"/>
                <c:pt idx="0">
                  <c:v>DBH</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3.3'!$B$65:$C$76</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 </c:v>
                  </c:pt>
                  <c:pt idx="4">
                    <c:v>West Kalimantan</c:v>
                  </c:pt>
                  <c:pt idx="8">
                    <c:v>East Kalimantan</c:v>
                  </c:pt>
                </c:lvl>
              </c:multiLvlStrCache>
            </c:multiLvlStrRef>
          </c:cat>
          <c:val>
            <c:numRef>
              <c:f>'Grafik 3.3'!$D$65:$D$76</c:f>
              <c:numCache>
                <c:formatCode>0%</c:formatCode>
                <c:ptCount val="12"/>
                <c:pt idx="0">
                  <c:v>0.61943399258827192</c:v>
                </c:pt>
                <c:pt idx="1">
                  <c:v>0.70933984680617679</c:v>
                </c:pt>
                <c:pt idx="2">
                  <c:v>0.65918149349826294</c:v>
                </c:pt>
                <c:pt idx="3">
                  <c:v>0.6546358670331307</c:v>
                </c:pt>
                <c:pt idx="4">
                  <c:v>0.12359422780054113</c:v>
                </c:pt>
                <c:pt idx="5">
                  <c:v>0.14760920458524426</c:v>
                </c:pt>
                <c:pt idx="6">
                  <c:v>0.14838874960339099</c:v>
                </c:pt>
                <c:pt idx="7">
                  <c:v>0.11634234438520202</c:v>
                </c:pt>
                <c:pt idx="8">
                  <c:v>0.99305579635063501</c:v>
                </c:pt>
                <c:pt idx="9">
                  <c:v>0.99219107279554364</c:v>
                </c:pt>
                <c:pt idx="10">
                  <c:v>0.98307457605977466</c:v>
                </c:pt>
                <c:pt idx="11">
                  <c:v>0.97597688237742064</c:v>
                </c:pt>
              </c:numCache>
            </c:numRef>
          </c:val>
        </c:ser>
        <c:ser>
          <c:idx val="1"/>
          <c:order val="1"/>
          <c:tx>
            <c:strRef>
              <c:f>'Grafik 3.3'!$E$64</c:f>
              <c:strCache>
                <c:ptCount val="1"/>
                <c:pt idx="0">
                  <c:v>DAU</c:v>
                </c:pt>
              </c:strCache>
            </c:strRef>
          </c:tx>
          <c:cat>
            <c:multiLvlStrRef>
              <c:f>'Grafik 3.3'!$B$65:$C$76</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 </c:v>
                  </c:pt>
                  <c:pt idx="4">
                    <c:v>West Kalimantan</c:v>
                  </c:pt>
                  <c:pt idx="8">
                    <c:v>East Kalimantan</c:v>
                  </c:pt>
                </c:lvl>
              </c:multiLvlStrCache>
            </c:multiLvlStrRef>
          </c:cat>
          <c:val>
            <c:numRef>
              <c:f>'Grafik 3.3'!$E$65:$E$76</c:f>
              <c:numCache>
                <c:formatCode>0%</c:formatCode>
                <c:ptCount val="12"/>
                <c:pt idx="0">
                  <c:v>0.38056600741172902</c:v>
                </c:pt>
                <c:pt idx="1">
                  <c:v>0.280892450838234</c:v>
                </c:pt>
                <c:pt idx="2">
                  <c:v>0.32461470405426773</c:v>
                </c:pt>
                <c:pt idx="3">
                  <c:v>0.32477463927362554</c:v>
                </c:pt>
                <c:pt idx="4">
                  <c:v>0.8178643878314692</c:v>
                </c:pt>
                <c:pt idx="5">
                  <c:v>0.82021869817305704</c:v>
                </c:pt>
                <c:pt idx="6">
                  <c:v>0.81464143355172347</c:v>
                </c:pt>
                <c:pt idx="7">
                  <c:v>0.84729505047116094</c:v>
                </c:pt>
                <c:pt idx="8">
                  <c:v>5.7234215887619934E-3</c:v>
                </c:pt>
                <c:pt idx="9">
                  <c:v>0</c:v>
                </c:pt>
                <c:pt idx="10">
                  <c:v>9.7145110315191192E-3</c:v>
                </c:pt>
                <c:pt idx="11">
                  <c:v>1.1982746524081699E-2</c:v>
                </c:pt>
              </c:numCache>
            </c:numRef>
          </c:val>
        </c:ser>
        <c:ser>
          <c:idx val="2"/>
          <c:order val="2"/>
          <c:tx>
            <c:strRef>
              <c:f>'Grafik 3.3'!$F$64</c:f>
              <c:strCache>
                <c:ptCount val="1"/>
                <c:pt idx="0">
                  <c:v>DAK</c:v>
                </c:pt>
              </c:strCache>
            </c:strRef>
          </c:tx>
          <c:cat>
            <c:multiLvlStrRef>
              <c:f>'Grafik 3.3'!$B$65:$C$76</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 </c:v>
                  </c:pt>
                  <c:pt idx="4">
                    <c:v>West Kalimantan</c:v>
                  </c:pt>
                  <c:pt idx="8">
                    <c:v>East Kalimantan</c:v>
                  </c:pt>
                </c:lvl>
              </c:multiLvlStrCache>
            </c:multiLvlStrRef>
          </c:cat>
          <c:val>
            <c:numRef>
              <c:f>'Grafik 3.3'!$F$65:$F$76</c:f>
              <c:numCache>
                <c:formatCode>0%</c:formatCode>
                <c:ptCount val="12"/>
                <c:pt idx="0">
                  <c:v>0</c:v>
                </c:pt>
                <c:pt idx="1">
                  <c:v>9.7677023555893579E-3</c:v>
                </c:pt>
                <c:pt idx="2">
                  <c:v>1.6203802447470324E-2</c:v>
                </c:pt>
                <c:pt idx="3">
                  <c:v>2.0589493693245597E-2</c:v>
                </c:pt>
                <c:pt idx="4">
                  <c:v>5.8541384367988385E-2</c:v>
                </c:pt>
                <c:pt idx="5">
                  <c:v>3.2172097241698498E-2</c:v>
                </c:pt>
                <c:pt idx="6">
                  <c:v>3.6969816844886802E-2</c:v>
                </c:pt>
                <c:pt idx="7">
                  <c:v>3.6362605143638101E-2</c:v>
                </c:pt>
                <c:pt idx="8">
                  <c:v>1.2207820606031121E-3</c:v>
                </c:pt>
                <c:pt idx="9">
                  <c:v>7.8089272044568163E-3</c:v>
                </c:pt>
                <c:pt idx="10">
                  <c:v>7.2109129087071424E-3</c:v>
                </c:pt>
                <c:pt idx="11">
                  <c:v>1.2040371098498518E-2</c:v>
                </c:pt>
              </c:numCache>
            </c:numRef>
          </c:val>
        </c:ser>
        <c:gapWidth val="20"/>
        <c:overlap val="100"/>
        <c:axId val="89687552"/>
        <c:axId val="89689088"/>
      </c:barChart>
      <c:catAx>
        <c:axId val="89687552"/>
        <c:scaling>
          <c:orientation val="minMax"/>
        </c:scaling>
        <c:axPos val="l"/>
        <c:numFmt formatCode="General" sourceLinked="0"/>
        <c:tickLblPos val="nextTo"/>
        <c:txPr>
          <a:bodyPr/>
          <a:lstStyle/>
          <a:p>
            <a:pPr>
              <a:defRPr lang="id-ID"/>
            </a:pPr>
            <a:endParaRPr lang="en-US"/>
          </a:p>
        </c:txPr>
        <c:crossAx val="89689088"/>
        <c:crosses val="autoZero"/>
        <c:auto val="1"/>
        <c:lblAlgn val="ctr"/>
        <c:lblOffset val="100"/>
      </c:catAx>
      <c:valAx>
        <c:axId val="89689088"/>
        <c:scaling>
          <c:orientation val="minMax"/>
        </c:scaling>
        <c:axPos val="b"/>
        <c:majorGridlines/>
        <c:numFmt formatCode="0%" sourceLinked="1"/>
        <c:tickLblPos val="nextTo"/>
        <c:txPr>
          <a:bodyPr/>
          <a:lstStyle/>
          <a:p>
            <a:pPr>
              <a:defRPr lang="id-ID"/>
            </a:pPr>
            <a:endParaRPr lang="en-US"/>
          </a:p>
        </c:txPr>
        <c:crossAx val="89687552"/>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id-ID"/>
            </a:pPr>
            <a:r>
              <a:rPr lang="id-ID" sz="1100" b="1" i="0" baseline="0">
                <a:effectLst/>
              </a:rPr>
              <a:t>Graphic </a:t>
            </a:r>
            <a:r>
              <a:rPr lang="en-US" sz="1100" b="1" i="0" baseline="0">
                <a:effectLst/>
              </a:rPr>
              <a:t>3.4 </a:t>
            </a:r>
            <a:r>
              <a:rPr lang="id-ID" sz="1100" b="1" i="0" baseline="0">
                <a:effectLst/>
              </a:rPr>
              <a:t>-</a:t>
            </a:r>
            <a:r>
              <a:rPr lang="en-US" sz="1100" b="1" i="0" baseline="0">
                <a:effectLst/>
              </a:rPr>
              <a:t> </a:t>
            </a:r>
            <a:r>
              <a:rPr lang="en-AU" sz="1100" b="1" i="0" baseline="0">
                <a:effectLst/>
              </a:rPr>
              <a:t>Balanced Funds Composition by District</a:t>
            </a:r>
            <a:r>
              <a:rPr lang="id-ID" sz="1100" b="1" i="0" baseline="0">
                <a:effectLst/>
              </a:rPr>
              <a:t>, 2009-2012</a:t>
            </a:r>
            <a:endParaRPr lang="id-ID" sz="1100">
              <a:effectLst/>
            </a:endParaRPr>
          </a:p>
        </c:rich>
      </c:tx>
    </c:title>
    <c:plotArea>
      <c:layout/>
      <c:barChart>
        <c:barDir val="col"/>
        <c:grouping val="percentStacked"/>
        <c:ser>
          <c:idx val="0"/>
          <c:order val="0"/>
          <c:tx>
            <c:strRef>
              <c:f>'Grafik 3.4'!$D$64</c:f>
              <c:strCache>
                <c:ptCount val="1"/>
                <c:pt idx="0">
                  <c:v>DBH</c:v>
                </c:pt>
              </c:strCache>
            </c:strRef>
          </c:tx>
          <c:dLbls>
            <c:spPr>
              <a:noFill/>
              <a:ln>
                <a:noFill/>
              </a:ln>
              <a:effectLst/>
            </c:spPr>
            <c:txPr>
              <a:bodyPr/>
              <a:lstStyle/>
              <a:p>
                <a:pPr>
                  <a:defRPr lang="id-ID" sz="700"/>
                </a:pPr>
                <a:endParaRPr lang="en-US"/>
              </a:p>
            </c:txPr>
            <c:showVal val="1"/>
            <c:extLst>
              <c:ext xmlns:c15="http://schemas.microsoft.com/office/drawing/2012/chart" uri="{CE6537A1-D6FC-4f65-9D91-7224C49458BB}">
                <c15:showLeaderLines val="0"/>
              </c:ext>
            </c:extLst>
          </c:dLbls>
          <c:cat>
            <c:multiLvlStrRef>
              <c:f>'Grafik 3.4'!$B$65:$C$88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3.4'!$D$65:$D$88</c:f>
              <c:numCache>
                <c:formatCode>0%</c:formatCode>
                <c:ptCount val="24"/>
                <c:pt idx="0">
                  <c:v>0.89417217365674551</c:v>
                </c:pt>
                <c:pt idx="1">
                  <c:v>0.92211098274928249</c:v>
                </c:pt>
                <c:pt idx="2">
                  <c:v>0.81812631692322602</c:v>
                </c:pt>
                <c:pt idx="3">
                  <c:v>0.81370437352561664</c:v>
                </c:pt>
                <c:pt idx="4">
                  <c:v>0.39475489938572267</c:v>
                </c:pt>
                <c:pt idx="5">
                  <c:v>0.56942422947157378</c:v>
                </c:pt>
                <c:pt idx="6">
                  <c:v>0.48145410064547534</c:v>
                </c:pt>
                <c:pt idx="7">
                  <c:v>0.43282025854336098</c:v>
                </c:pt>
                <c:pt idx="8">
                  <c:v>7.3561150003810499E-2</c:v>
                </c:pt>
                <c:pt idx="9">
                  <c:v>0.10002241007681113</c:v>
                </c:pt>
                <c:pt idx="10">
                  <c:v>8.4531804529229287E-2</c:v>
                </c:pt>
                <c:pt idx="11">
                  <c:v>4.6245226370911545E-2</c:v>
                </c:pt>
                <c:pt idx="12">
                  <c:v>6.8685829730472298E-2</c:v>
                </c:pt>
                <c:pt idx="13">
                  <c:v>8.3389771443401359E-2</c:v>
                </c:pt>
                <c:pt idx="14">
                  <c:v>7.3287235054454003E-2</c:v>
                </c:pt>
                <c:pt idx="15">
                  <c:v>6.3726118857929781E-2</c:v>
                </c:pt>
                <c:pt idx="16">
                  <c:v>0.66270163374799096</c:v>
                </c:pt>
                <c:pt idx="17">
                  <c:v>0.8025633475360805</c:v>
                </c:pt>
                <c:pt idx="18">
                  <c:v>0.72671185213336909</c:v>
                </c:pt>
                <c:pt idx="19">
                  <c:v>0.61675355776338792</c:v>
                </c:pt>
                <c:pt idx="20">
                  <c:v>0.73000939559345679</c:v>
                </c:pt>
                <c:pt idx="21">
                  <c:v>0.89474989745979072</c:v>
                </c:pt>
                <c:pt idx="22">
                  <c:v>0.77248306371088904</c:v>
                </c:pt>
                <c:pt idx="23">
                  <c:v>0.61746086478385798</c:v>
                </c:pt>
              </c:numCache>
            </c:numRef>
          </c:val>
        </c:ser>
        <c:ser>
          <c:idx val="1"/>
          <c:order val="1"/>
          <c:tx>
            <c:strRef>
              <c:f>'Grafik 3.4'!$E$64</c:f>
              <c:strCache>
                <c:ptCount val="1"/>
                <c:pt idx="0">
                  <c:v>DAU</c:v>
                </c:pt>
              </c:strCache>
            </c:strRef>
          </c:tx>
          <c:dLbls>
            <c:spPr>
              <a:noFill/>
              <a:ln>
                <a:noFill/>
              </a:ln>
              <a:effectLst/>
            </c:spPr>
            <c:txPr>
              <a:bodyPr/>
              <a:lstStyle/>
              <a:p>
                <a:pPr>
                  <a:defRPr lang="id-ID" sz="700">
                    <a:solidFill>
                      <a:schemeClr val="bg1"/>
                    </a:solidFill>
                  </a:defRPr>
                </a:pPr>
                <a:endParaRPr lang="en-US"/>
              </a:p>
            </c:txPr>
            <c:showVal val="1"/>
            <c:extLst>
              <c:ext xmlns:c15="http://schemas.microsoft.com/office/drawing/2012/chart" uri="{CE6537A1-D6FC-4f65-9D91-7224C49458BB}">
                <c15:showLeaderLines val="0"/>
              </c:ext>
            </c:extLst>
          </c:dLbls>
          <c:cat>
            <c:multiLvlStrRef>
              <c:f>'Grafik 3.4'!$B$65:$C$88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3.4'!$E$65:$E$88</c:f>
              <c:numCache>
                <c:formatCode>0%</c:formatCode>
                <c:ptCount val="24"/>
                <c:pt idx="0">
                  <c:v>7.9214911390162804E-2</c:v>
                </c:pt>
                <c:pt idx="1">
                  <c:v>4.8019410136662333E-2</c:v>
                </c:pt>
                <c:pt idx="2">
                  <c:v>0.150387846008671</c:v>
                </c:pt>
                <c:pt idx="3">
                  <c:v>0.16720309463111799</c:v>
                </c:pt>
                <c:pt idx="4">
                  <c:v>0.53009638876103593</c:v>
                </c:pt>
                <c:pt idx="5">
                  <c:v>0.37192753477830698</c:v>
                </c:pt>
                <c:pt idx="6">
                  <c:v>0.4578212390770694</c:v>
                </c:pt>
                <c:pt idx="7">
                  <c:v>0.51084511701237678</c:v>
                </c:pt>
                <c:pt idx="8">
                  <c:v>0.83430332238886595</c:v>
                </c:pt>
                <c:pt idx="9">
                  <c:v>0.81284418601759678</c:v>
                </c:pt>
                <c:pt idx="10">
                  <c:v>0.80282704013760897</c:v>
                </c:pt>
                <c:pt idx="11">
                  <c:v>0.8522912380603398</c:v>
                </c:pt>
                <c:pt idx="12">
                  <c:v>0.88766131482944699</c:v>
                </c:pt>
                <c:pt idx="13">
                  <c:v>0.82111266285821349</c:v>
                </c:pt>
                <c:pt idx="14">
                  <c:v>0.80966173992532198</c:v>
                </c:pt>
                <c:pt idx="15">
                  <c:v>0.81344263407416095</c:v>
                </c:pt>
                <c:pt idx="16">
                  <c:v>0.31157329302646947</c:v>
                </c:pt>
                <c:pt idx="17">
                  <c:v>0.17910571609259701</c:v>
                </c:pt>
                <c:pt idx="18">
                  <c:v>0.267587250125839</c:v>
                </c:pt>
                <c:pt idx="19">
                  <c:v>0.37713145029996198</c:v>
                </c:pt>
                <c:pt idx="20">
                  <c:v>0.24876188453466533</c:v>
                </c:pt>
                <c:pt idx="21">
                  <c:v>9.8986556220015107E-2</c:v>
                </c:pt>
                <c:pt idx="22">
                  <c:v>0.22139312076186199</c:v>
                </c:pt>
                <c:pt idx="23">
                  <c:v>0.37271076690392846</c:v>
                </c:pt>
              </c:numCache>
            </c:numRef>
          </c:val>
        </c:ser>
        <c:ser>
          <c:idx val="2"/>
          <c:order val="2"/>
          <c:tx>
            <c:strRef>
              <c:f>'Grafik 3.4'!$F$64</c:f>
              <c:strCache>
                <c:ptCount val="1"/>
                <c:pt idx="0">
                  <c:v>DAK</c:v>
                </c:pt>
              </c:strCache>
            </c:strRef>
          </c:tx>
          <c:cat>
            <c:multiLvlStrRef>
              <c:f>'Grafik 3.4'!$B$65:$C$88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3.4'!$F$65:$F$88</c:f>
              <c:numCache>
                <c:formatCode>0%</c:formatCode>
                <c:ptCount val="24"/>
                <c:pt idx="0">
                  <c:v>2.6612914953090899E-2</c:v>
                </c:pt>
                <c:pt idx="1">
                  <c:v>2.9869607114054945E-2</c:v>
                </c:pt>
                <c:pt idx="2">
                  <c:v>3.1485837068103387E-2</c:v>
                </c:pt>
                <c:pt idx="3">
                  <c:v>1.909253184326604E-2</c:v>
                </c:pt>
                <c:pt idx="4">
                  <c:v>7.5148711853240333E-2</c:v>
                </c:pt>
                <c:pt idx="5">
                  <c:v>5.86482357501193E-2</c:v>
                </c:pt>
                <c:pt idx="6">
                  <c:v>6.0724660277456113E-2</c:v>
                </c:pt>
                <c:pt idx="7">
                  <c:v>5.6334624444262467E-2</c:v>
                </c:pt>
                <c:pt idx="8">
                  <c:v>9.2135527607323187E-2</c:v>
                </c:pt>
                <c:pt idx="9">
                  <c:v>8.7133403905593584E-2</c:v>
                </c:pt>
                <c:pt idx="10">
                  <c:v>0.112641155333162</c:v>
                </c:pt>
                <c:pt idx="11">
                  <c:v>0.10146353556874908</c:v>
                </c:pt>
                <c:pt idx="12">
                  <c:v>4.3652855440080143E-2</c:v>
                </c:pt>
                <c:pt idx="13">
                  <c:v>9.5497565698385065E-2</c:v>
                </c:pt>
                <c:pt idx="14">
                  <c:v>0.11705102502022302</c:v>
                </c:pt>
                <c:pt idx="15">
                  <c:v>0.12283124706790917</c:v>
                </c:pt>
                <c:pt idx="16">
                  <c:v>2.57250732255404E-2</c:v>
                </c:pt>
                <c:pt idx="17">
                  <c:v>1.8330936371322101E-2</c:v>
                </c:pt>
                <c:pt idx="18">
                  <c:v>5.7008977407937006E-3</c:v>
                </c:pt>
                <c:pt idx="19">
                  <c:v>6.1149919366504145E-3</c:v>
                </c:pt>
                <c:pt idx="20">
                  <c:v>2.1228719871878712E-2</c:v>
                </c:pt>
                <c:pt idx="21">
                  <c:v>6.2635463201956253E-3</c:v>
                </c:pt>
                <c:pt idx="22">
                  <c:v>6.1238155272483122E-3</c:v>
                </c:pt>
                <c:pt idx="23">
                  <c:v>9.8283683122138699E-3</c:v>
                </c:pt>
              </c:numCache>
            </c:numRef>
          </c:val>
        </c:ser>
        <c:gapWidth val="25"/>
        <c:overlap val="100"/>
        <c:axId val="89806720"/>
        <c:axId val="89808256"/>
      </c:barChart>
      <c:catAx>
        <c:axId val="89806720"/>
        <c:scaling>
          <c:orientation val="minMax"/>
        </c:scaling>
        <c:axPos val="b"/>
        <c:numFmt formatCode="General" sourceLinked="0"/>
        <c:tickLblPos val="nextTo"/>
        <c:txPr>
          <a:bodyPr/>
          <a:lstStyle/>
          <a:p>
            <a:pPr>
              <a:defRPr lang="id-ID"/>
            </a:pPr>
            <a:endParaRPr lang="en-US"/>
          </a:p>
        </c:txPr>
        <c:crossAx val="89808256"/>
        <c:crosses val="autoZero"/>
        <c:auto val="1"/>
        <c:lblAlgn val="ctr"/>
        <c:lblOffset val="100"/>
      </c:catAx>
      <c:valAx>
        <c:axId val="89808256"/>
        <c:scaling>
          <c:orientation val="minMax"/>
        </c:scaling>
        <c:axPos val="l"/>
        <c:majorGridlines/>
        <c:numFmt formatCode="0%" sourceLinked="1"/>
        <c:tickLblPos val="nextTo"/>
        <c:txPr>
          <a:bodyPr/>
          <a:lstStyle/>
          <a:p>
            <a:pPr>
              <a:defRPr lang="id-ID"/>
            </a:pPr>
            <a:endParaRPr lang="en-US"/>
          </a:p>
        </c:txPr>
        <c:crossAx val="89806720"/>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4"/>
  <c:chart>
    <c:plotArea>
      <c:layout>
        <c:manualLayout>
          <c:layoutTarget val="inner"/>
          <c:xMode val="edge"/>
          <c:yMode val="edge"/>
          <c:x val="0.11669966115187402"/>
          <c:y val="3.2352941176470612E-2"/>
          <c:w val="0.85267220415381495"/>
          <c:h val="0.81511395560479605"/>
        </c:manualLayout>
      </c:layout>
      <c:barChart>
        <c:barDir val="bar"/>
        <c:grouping val="percentStacked"/>
        <c:ser>
          <c:idx val="3"/>
          <c:order val="3"/>
          <c:tx>
            <c:strRef>
              <c:f>'Grafik 3.5'!$E$2</c:f>
            </c:strRef>
          </c:tx>
          <c:cat>
            <c:multiLvlStrRef>
              <c:f>'Grafik 3.5'!$C$3:$D$11</c:f>
            </c:multiLvlStrRef>
          </c:cat>
          <c:val>
            <c:numRef>
              <c:f>'Grafik 3.5'!$E$3:$E$11</c:f>
            </c:numRef>
          </c:val>
        </c:ser>
        <c:ser>
          <c:idx val="4"/>
          <c:order val="4"/>
          <c:tx>
            <c:strRef>
              <c:f>'Grafik 3.5'!$F$2</c:f>
            </c:strRef>
          </c:tx>
          <c:cat>
            <c:multiLvlStrRef>
              <c:f>'Grafik 3.5'!$C$3:$D$11</c:f>
            </c:multiLvlStrRef>
          </c:cat>
          <c:val>
            <c:numRef>
              <c:f>'Grafik 3.5'!$F$3:$F$11</c:f>
            </c:numRef>
          </c:val>
        </c:ser>
        <c:ser>
          <c:idx val="5"/>
          <c:order val="5"/>
          <c:tx>
            <c:strRef>
              <c:f>'Grafik 3.5'!$G$2</c:f>
            </c:strRef>
          </c:tx>
          <c:cat>
            <c:multiLvlStrRef>
              <c:f>'Grafik 3.5'!$C$3:$D$11</c:f>
            </c:multiLvlStrRef>
          </c:cat>
          <c:val>
            <c:numRef>
              <c:f>'Grafik 3.5'!$G$3:$G$11</c:f>
            </c:numRef>
          </c:val>
        </c:ser>
        <c:ser>
          <c:idx val="0"/>
          <c:order val="0"/>
          <c:tx>
            <c:strRef>
              <c:f>'[grafik daerah_Icha_8Des(1).xlsx]Grafik 3.5'!$E$2</c:f>
              <c:strCache>
                <c:ptCount val="1"/>
                <c:pt idx="0">
                  <c:v>Forestry</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daerah_Icha_8Des(1).xlsx]Grafik 3.5'!$C$3:$D$11</c:f>
              <c:multiLvlStrCache>
                <c:ptCount val="9"/>
                <c:lvl>
                  <c:pt idx="0">
                    <c:v>2009</c:v>
                  </c:pt>
                  <c:pt idx="1">
                    <c:v>2010</c:v>
                  </c:pt>
                  <c:pt idx="2">
                    <c:v>2011</c:v>
                  </c:pt>
                  <c:pt idx="3">
                    <c:v>2009</c:v>
                  </c:pt>
                  <c:pt idx="4">
                    <c:v>2010</c:v>
                  </c:pt>
                  <c:pt idx="5">
                    <c:v>2011</c:v>
                  </c:pt>
                  <c:pt idx="6">
                    <c:v>2009</c:v>
                  </c:pt>
                  <c:pt idx="7">
                    <c:v>2010</c:v>
                  </c:pt>
                  <c:pt idx="8">
                    <c:v>2011</c:v>
                  </c:pt>
                </c:lvl>
                <c:lvl>
                  <c:pt idx="0">
                    <c:v>South Sumatra </c:v>
                  </c:pt>
                  <c:pt idx="3">
                    <c:v>West Kalimantan </c:v>
                  </c:pt>
                  <c:pt idx="6">
                    <c:v>East Kalimantan</c:v>
                  </c:pt>
                </c:lvl>
              </c:multiLvlStrCache>
            </c:multiLvlStrRef>
          </c:cat>
          <c:val>
            <c:numRef>
              <c:f>'[grafik daerah_Icha_8Des(1).xlsx]Grafik 3.5'!$E$3:$E$11</c:f>
              <c:numCache>
                <c:formatCode>0.0%</c:formatCode>
                <c:ptCount val="9"/>
                <c:pt idx="0">
                  <c:v>5.0093730842242275E-3</c:v>
                </c:pt>
                <c:pt idx="1">
                  <c:v>1.11972686644288E-3</c:v>
                </c:pt>
                <c:pt idx="2">
                  <c:v>4.3935364847693375E-3</c:v>
                </c:pt>
                <c:pt idx="3" formatCode="0%">
                  <c:v>0.21998420324991499</c:v>
                </c:pt>
                <c:pt idx="4" formatCode="0%">
                  <c:v>0.53060396879945959</c:v>
                </c:pt>
                <c:pt idx="5" formatCode="0%">
                  <c:v>0.25481256270475167</c:v>
                </c:pt>
                <c:pt idx="6" formatCode="0%">
                  <c:v>7.260260974503361E-3</c:v>
                </c:pt>
                <c:pt idx="7" formatCode="0%">
                  <c:v>9.3729567324374735E-3</c:v>
                </c:pt>
                <c:pt idx="8" formatCode="0%">
                  <c:v>7.6753451967719964E-3</c:v>
                </c:pt>
              </c:numCache>
            </c:numRef>
          </c:val>
        </c:ser>
        <c:ser>
          <c:idx val="1"/>
          <c:order val="1"/>
          <c:tx>
            <c:strRef>
              <c:f>'[grafik daerah_Icha_8Des(1).xlsx]Grafik 3.5'!$F$2</c:f>
              <c:strCache>
                <c:ptCount val="1"/>
                <c:pt idx="0">
                  <c:v>Mining</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daerah_Icha_8Des(1).xlsx]Grafik 3.5'!$C$3:$D$11</c:f>
              <c:multiLvlStrCache>
                <c:ptCount val="9"/>
                <c:lvl>
                  <c:pt idx="0">
                    <c:v>2009</c:v>
                  </c:pt>
                  <c:pt idx="1">
                    <c:v>2010</c:v>
                  </c:pt>
                  <c:pt idx="2">
                    <c:v>2011</c:v>
                  </c:pt>
                  <c:pt idx="3">
                    <c:v>2009</c:v>
                  </c:pt>
                  <c:pt idx="4">
                    <c:v>2010</c:v>
                  </c:pt>
                  <c:pt idx="5">
                    <c:v>2011</c:v>
                  </c:pt>
                  <c:pt idx="6">
                    <c:v>2009</c:v>
                  </c:pt>
                  <c:pt idx="7">
                    <c:v>2010</c:v>
                  </c:pt>
                  <c:pt idx="8">
                    <c:v>2011</c:v>
                  </c:pt>
                </c:lvl>
                <c:lvl>
                  <c:pt idx="0">
                    <c:v>South Sumatra </c:v>
                  </c:pt>
                  <c:pt idx="3">
                    <c:v>West Kalimantan </c:v>
                  </c:pt>
                  <c:pt idx="6">
                    <c:v>East Kalimantan</c:v>
                  </c:pt>
                </c:lvl>
              </c:multiLvlStrCache>
            </c:multiLvlStrRef>
          </c:cat>
          <c:val>
            <c:numRef>
              <c:f>'[grafik daerah_Icha_8Des(1).xlsx]Grafik 3.5'!$F$3:$F$11</c:f>
              <c:numCache>
                <c:formatCode>0.0%</c:formatCode>
                <c:ptCount val="9"/>
                <c:pt idx="0">
                  <c:v>0.12442704878559609</c:v>
                </c:pt>
                <c:pt idx="1">
                  <c:v>9.4097867943023106E-2</c:v>
                </c:pt>
                <c:pt idx="2">
                  <c:v>0.13250343371653817</c:v>
                </c:pt>
                <c:pt idx="3" formatCode="0%">
                  <c:v>0.78001579675008503</c:v>
                </c:pt>
                <c:pt idx="4" formatCode="0%">
                  <c:v>0.46939603120053902</c:v>
                </c:pt>
                <c:pt idx="5" formatCode="0%">
                  <c:v>0.74518743729524961</c:v>
                </c:pt>
                <c:pt idx="6" formatCode="0%">
                  <c:v>0.271148707405095</c:v>
                </c:pt>
                <c:pt idx="7" formatCode="0%">
                  <c:v>0.19237728295965187</c:v>
                </c:pt>
                <c:pt idx="8" formatCode="0%">
                  <c:v>0.22718102787262301</c:v>
                </c:pt>
              </c:numCache>
            </c:numRef>
          </c:val>
        </c:ser>
        <c:ser>
          <c:idx val="2"/>
          <c:order val="2"/>
          <c:tx>
            <c:strRef>
              <c:f>'[grafik daerah_Icha_8Des(1).xlsx]Grafik 3.5'!$G$2</c:f>
              <c:strCache>
                <c:ptCount val="1"/>
                <c:pt idx="0">
                  <c:v>Oil and Gas</c:v>
                </c:pt>
              </c:strCache>
            </c:strRef>
          </c:tx>
          <c:dLbls>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daerah_Icha_8Des(1).xlsx]Grafik 3.5'!$C$3:$D$11</c:f>
              <c:multiLvlStrCache>
                <c:ptCount val="9"/>
                <c:lvl>
                  <c:pt idx="0">
                    <c:v>2009</c:v>
                  </c:pt>
                  <c:pt idx="1">
                    <c:v>2010</c:v>
                  </c:pt>
                  <c:pt idx="2">
                    <c:v>2011</c:v>
                  </c:pt>
                  <c:pt idx="3">
                    <c:v>2009</c:v>
                  </c:pt>
                  <c:pt idx="4">
                    <c:v>2010</c:v>
                  </c:pt>
                  <c:pt idx="5">
                    <c:v>2011</c:v>
                  </c:pt>
                  <c:pt idx="6">
                    <c:v>2009</c:v>
                  </c:pt>
                  <c:pt idx="7">
                    <c:v>2010</c:v>
                  </c:pt>
                  <c:pt idx="8">
                    <c:v>2011</c:v>
                  </c:pt>
                </c:lvl>
                <c:lvl>
                  <c:pt idx="0">
                    <c:v>South Sumatra </c:v>
                  </c:pt>
                  <c:pt idx="3">
                    <c:v>West Kalimantan </c:v>
                  </c:pt>
                  <c:pt idx="6">
                    <c:v>East Kalimantan</c:v>
                  </c:pt>
                </c:lvl>
              </c:multiLvlStrCache>
            </c:multiLvlStrRef>
          </c:cat>
          <c:val>
            <c:numRef>
              <c:f>'[grafik daerah_Icha_8Des(1).xlsx]Grafik 3.5'!$G$3:$G$11</c:f>
              <c:numCache>
                <c:formatCode>0.0%</c:formatCode>
                <c:ptCount val="9"/>
                <c:pt idx="0">
                  <c:v>0.87056357813018004</c:v>
                </c:pt>
                <c:pt idx="1">
                  <c:v>0.90478240519053399</c:v>
                </c:pt>
                <c:pt idx="2">
                  <c:v>0.86310302979869302</c:v>
                </c:pt>
                <c:pt idx="3" formatCode="0%">
                  <c:v>0</c:v>
                </c:pt>
                <c:pt idx="4" formatCode="0%">
                  <c:v>0</c:v>
                </c:pt>
                <c:pt idx="5" formatCode="0%">
                  <c:v>0</c:v>
                </c:pt>
                <c:pt idx="6" formatCode="0%">
                  <c:v>0.72159103162040295</c:v>
                </c:pt>
                <c:pt idx="7" formatCode="0%">
                  <c:v>0.79824976030790951</c:v>
                </c:pt>
                <c:pt idx="8" formatCode="0%">
                  <c:v>0.76514362693060578</c:v>
                </c:pt>
              </c:numCache>
            </c:numRef>
          </c:val>
        </c:ser>
        <c:gapWidth val="30"/>
        <c:overlap val="100"/>
        <c:axId val="89926656"/>
        <c:axId val="89936640"/>
      </c:barChart>
      <c:catAx>
        <c:axId val="89926656"/>
        <c:scaling>
          <c:orientation val="minMax"/>
        </c:scaling>
        <c:axPos val="l"/>
        <c:numFmt formatCode="General" sourceLinked="0"/>
        <c:tickLblPos val="nextTo"/>
        <c:txPr>
          <a:bodyPr/>
          <a:lstStyle/>
          <a:p>
            <a:pPr>
              <a:defRPr lang="id-ID"/>
            </a:pPr>
            <a:endParaRPr lang="en-US"/>
          </a:p>
        </c:txPr>
        <c:crossAx val="89936640"/>
        <c:crosses val="autoZero"/>
        <c:auto val="1"/>
        <c:lblAlgn val="ctr"/>
        <c:lblOffset val="100"/>
      </c:catAx>
      <c:valAx>
        <c:axId val="89936640"/>
        <c:scaling>
          <c:orientation val="minMax"/>
        </c:scaling>
        <c:axPos val="b"/>
        <c:majorGridlines/>
        <c:numFmt formatCode="0%" sourceLinked="1"/>
        <c:tickLblPos val="nextTo"/>
        <c:txPr>
          <a:bodyPr/>
          <a:lstStyle/>
          <a:p>
            <a:pPr>
              <a:defRPr lang="id-ID"/>
            </a:pPr>
            <a:endParaRPr lang="en-US"/>
          </a:p>
        </c:txPr>
        <c:crossAx val="89926656"/>
        <c:crosses val="autoZero"/>
        <c:crossBetween val="between"/>
      </c:valAx>
    </c:plotArea>
    <c:legend>
      <c:legendPos val="b"/>
      <c:legendEntry>
        <c:idx val="0"/>
        <c:delete val="1"/>
      </c:legendEntry>
      <c:legendEntry>
        <c:idx val="1"/>
        <c:delete val="1"/>
      </c:legendEntry>
      <c:legendEntry>
        <c:idx val="2"/>
        <c:delete val="1"/>
      </c:legendEntry>
      <c:txPr>
        <a:bodyPr/>
        <a:lstStyle/>
        <a:p>
          <a:pPr>
            <a:defRPr lang="id-ID"/>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6"/>
  <c:chart>
    <c:plotArea>
      <c:layout/>
      <c:barChart>
        <c:barDir val="col"/>
        <c:grouping val="percentStacked"/>
        <c:ser>
          <c:idx val="4"/>
          <c:order val="4"/>
          <c:tx>
            <c:strRef>
              <c:f>'Grafik 3.6'!$E$4</c:f>
            </c:strRef>
          </c:tx>
          <c:spPr>
            <a:solidFill>
              <a:srgbClr val="92D050"/>
            </a:solidFill>
          </c:spPr>
          <c:cat>
            <c:multiLvlStrRef>
              <c:f>'Grafik 3.6'!$C$5:$D$28</c:f>
            </c:multiLvlStrRef>
          </c:cat>
          <c:val>
            <c:numRef>
              <c:f>'Grafik 3.6'!$E$5:$E$28</c:f>
            </c:numRef>
          </c:val>
        </c:ser>
        <c:ser>
          <c:idx val="5"/>
          <c:order val="5"/>
          <c:tx>
            <c:strRef>
              <c:f>'Grafik 3.6'!$F$4</c:f>
            </c:strRef>
          </c:tx>
          <c:spPr>
            <a:solidFill>
              <a:srgbClr val="FFC000"/>
            </a:solidFill>
          </c:spPr>
          <c:cat>
            <c:multiLvlStrRef>
              <c:f>'Grafik 3.6'!$C$5:$D$28</c:f>
            </c:multiLvlStrRef>
          </c:cat>
          <c:val>
            <c:numRef>
              <c:f>'Grafik 3.6'!$F$5:$F$28</c:f>
            </c:numRef>
          </c:val>
        </c:ser>
        <c:ser>
          <c:idx val="6"/>
          <c:order val="6"/>
          <c:tx>
            <c:strRef>
              <c:f>'Grafik 3.6'!$G$4</c:f>
            </c:strRef>
          </c:tx>
          <c:spPr>
            <a:solidFill>
              <a:srgbClr val="C00000"/>
            </a:solidFill>
          </c:spPr>
          <c:cat>
            <c:multiLvlStrRef>
              <c:f>'Grafik 3.6'!$C$5:$D$28</c:f>
            </c:multiLvlStrRef>
          </c:cat>
          <c:val>
            <c:numRef>
              <c:f>'Grafik 3.6'!$G$5:$G$28</c:f>
            </c:numRef>
          </c:val>
        </c:ser>
        <c:ser>
          <c:idx val="7"/>
          <c:order val="7"/>
          <c:tx>
            <c:strRef>
              <c:f>'Grafik 3.6'!$H$4</c:f>
            </c:strRef>
          </c:tx>
          <c:spPr>
            <a:solidFill>
              <a:srgbClr val="0070C0"/>
            </a:solidFill>
          </c:spPr>
          <c:cat>
            <c:multiLvlStrRef>
              <c:f>'Grafik 3.6'!$C$5:$D$28</c:f>
            </c:multiLvlStrRef>
          </c:cat>
          <c:val>
            <c:numRef>
              <c:f>'Grafik 3.6'!$H$5:$H$28</c:f>
            </c:numRef>
          </c:val>
        </c:ser>
        <c:ser>
          <c:idx val="0"/>
          <c:order val="0"/>
          <c:tx>
            <c:strRef>
              <c:f>'[grafik daerah_Icha_8Des(1).xlsx]Grafik 3.6'!$E$4</c:f>
              <c:strCache>
                <c:ptCount val="1"/>
                <c:pt idx="0">
                  <c:v>Forestry</c:v>
                </c:pt>
              </c:strCache>
            </c:strRef>
          </c:tx>
          <c:spPr>
            <a:solidFill>
              <a:srgbClr val="92D050"/>
            </a:solidFill>
          </c:spPr>
          <c:dLbls>
            <c:dLbl>
              <c:idx val="3"/>
              <c:delete val="1"/>
              <c:extLst>
                <c:ext xmlns:c15="http://schemas.microsoft.com/office/drawing/2012/chart" uri="{CE6537A1-D6FC-4f65-9D91-7224C49458BB}"/>
              </c:extLst>
            </c:dLbl>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daerah_Icha_8Des(1).xlsx]Grafik 3.6'!$C$5:$D$28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daerah_Icha_8Des(1).xlsx]Grafik 3.6'!$E$5:$E$28</c:f>
              <c:numCache>
                <c:formatCode>0%</c:formatCode>
                <c:ptCount val="24"/>
                <c:pt idx="0">
                  <c:v>2.5395532979461202E-2</c:v>
                </c:pt>
                <c:pt idx="1">
                  <c:v>2.3252612066248599E-2</c:v>
                </c:pt>
                <c:pt idx="2">
                  <c:v>2.3463336111297299E-2</c:v>
                </c:pt>
                <c:pt idx="3">
                  <c:v>1.3542010098627719E-2</c:v>
                </c:pt>
                <c:pt idx="4">
                  <c:v>1.1547172212788735E-3</c:v>
                </c:pt>
                <c:pt idx="5">
                  <c:v>5.9318566785266464E-4</c:v>
                </c:pt>
                <c:pt idx="6">
                  <c:v>2.0615823064935226E-3</c:v>
                </c:pt>
                <c:pt idx="7">
                  <c:v>2.5835102580142465E-3</c:v>
                </c:pt>
                <c:pt idx="8">
                  <c:v>0.67153789914528905</c:v>
                </c:pt>
                <c:pt idx="9">
                  <c:v>0.95605602036445003</c:v>
                </c:pt>
                <c:pt idx="10">
                  <c:v>0.711061651805735</c:v>
                </c:pt>
                <c:pt idx="11">
                  <c:v>0.94281648897779058</c:v>
                </c:pt>
                <c:pt idx="12">
                  <c:v>0.283603284199129</c:v>
                </c:pt>
                <c:pt idx="13">
                  <c:v>0.85691044585014797</c:v>
                </c:pt>
                <c:pt idx="14">
                  <c:v>0.66196169782522662</c:v>
                </c:pt>
                <c:pt idx="15">
                  <c:v>0.63817323341200394</c:v>
                </c:pt>
                <c:pt idx="16">
                  <c:v>1.0777810391378701E-2</c:v>
                </c:pt>
                <c:pt idx="17">
                  <c:v>8.3788218037661996E-2</c:v>
                </c:pt>
                <c:pt idx="18">
                  <c:v>0.40597185908235933</c:v>
                </c:pt>
                <c:pt idx="19">
                  <c:v>0</c:v>
                </c:pt>
                <c:pt idx="20">
                  <c:v>8.3965980966454759E-2</c:v>
                </c:pt>
                <c:pt idx="21">
                  <c:v>8.6110440946553027E-2</c:v>
                </c:pt>
                <c:pt idx="22">
                  <c:v>4.6711676497606824E-2</c:v>
                </c:pt>
                <c:pt idx="23">
                  <c:v>4.31306072307319E-2</c:v>
                </c:pt>
              </c:numCache>
            </c:numRef>
          </c:val>
        </c:ser>
        <c:ser>
          <c:idx val="1"/>
          <c:order val="1"/>
          <c:tx>
            <c:strRef>
              <c:f>'[grafik daerah_Icha_8Des(1).xlsx]Grafik 3.6'!$F$4</c:f>
              <c:strCache>
                <c:ptCount val="1"/>
                <c:pt idx="0">
                  <c:v>Mining</c:v>
                </c:pt>
              </c:strCache>
            </c:strRef>
          </c:tx>
          <c:spPr>
            <a:solidFill>
              <a:srgbClr val="FFC000"/>
            </a:solidFill>
          </c:spPr>
          <c:dLbls>
            <c:dLbl>
              <c:idx val="3"/>
              <c:delete val="1"/>
              <c:extLst>
                <c:ext xmlns:c15="http://schemas.microsoft.com/office/drawing/2012/chart" uri="{CE6537A1-D6FC-4f65-9D91-7224C49458BB}"/>
              </c:extLst>
            </c:dLbl>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daerah_Icha_8Des(1).xlsx]Grafik 3.6'!$C$5:$D$28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daerah_Icha_8Des(1).xlsx]Grafik 3.6'!$F$5:$F$28</c:f>
              <c:numCache>
                <c:formatCode>0%</c:formatCode>
                <c:ptCount val="24"/>
                <c:pt idx="0">
                  <c:v>1.3819280575743094E-2</c:v>
                </c:pt>
                <c:pt idx="1">
                  <c:v>1.0340023151279899E-2</c:v>
                </c:pt>
                <c:pt idx="2">
                  <c:v>1.72090748771111E-2</c:v>
                </c:pt>
                <c:pt idx="3">
                  <c:v>9.6176725409330196E-3</c:v>
                </c:pt>
                <c:pt idx="4">
                  <c:v>6.2519537931148852E-2</c:v>
                </c:pt>
                <c:pt idx="5">
                  <c:v>3.8309856603959497E-2</c:v>
                </c:pt>
                <c:pt idx="6">
                  <c:v>5.7741242637761099E-2</c:v>
                </c:pt>
                <c:pt idx="7">
                  <c:v>4.0301278812474313E-2</c:v>
                </c:pt>
                <c:pt idx="8">
                  <c:v>0.30185576334708686</c:v>
                </c:pt>
                <c:pt idx="9">
                  <c:v>3.4077093086548299E-2</c:v>
                </c:pt>
                <c:pt idx="10">
                  <c:v>0.2667260438192644</c:v>
                </c:pt>
                <c:pt idx="11">
                  <c:v>3.8562266718907903E-2</c:v>
                </c:pt>
                <c:pt idx="12">
                  <c:v>0</c:v>
                </c:pt>
                <c:pt idx="13">
                  <c:v>9.6771129494525279E-2</c:v>
                </c:pt>
                <c:pt idx="14">
                  <c:v>0</c:v>
                </c:pt>
                <c:pt idx="15">
                  <c:v>0</c:v>
                </c:pt>
                <c:pt idx="16">
                  <c:v>0.42569358023653076</c:v>
                </c:pt>
                <c:pt idx="17">
                  <c:v>0.25452188946687432</c:v>
                </c:pt>
                <c:pt idx="18">
                  <c:v>0</c:v>
                </c:pt>
                <c:pt idx="19">
                  <c:v>0</c:v>
                </c:pt>
                <c:pt idx="20">
                  <c:v>0.26334210858063201</c:v>
                </c:pt>
                <c:pt idx="21">
                  <c:v>0.18231127781350601</c:v>
                </c:pt>
                <c:pt idx="22">
                  <c:v>0.22826950755231923</c:v>
                </c:pt>
                <c:pt idx="23">
                  <c:v>0.21174240401424227</c:v>
                </c:pt>
              </c:numCache>
            </c:numRef>
          </c:val>
        </c:ser>
        <c:ser>
          <c:idx val="2"/>
          <c:order val="2"/>
          <c:tx>
            <c:strRef>
              <c:f>'[grafik daerah_Icha_8Des(1).xlsx]Grafik 3.6'!$G$4</c:f>
              <c:strCache>
                <c:ptCount val="1"/>
                <c:pt idx="0">
                  <c:v>Oil &amp; Gas</c:v>
                </c:pt>
              </c:strCache>
            </c:strRef>
          </c:tx>
          <c:spPr>
            <a:solidFill>
              <a:srgbClr val="C00000"/>
            </a:solidFill>
          </c:spPr>
          <c:dLbls>
            <c:dLbl>
              <c:idx val="3"/>
              <c:layout>
                <c:manualLayout>
                  <c:x val="0"/>
                  <c:y val="-0.14994934143870436"/>
                </c:manualLayout>
              </c:layout>
              <c:tx>
                <c:rich>
                  <a:bodyPr/>
                  <a:lstStyle/>
                  <a:p>
                    <a:pPr>
                      <a:defRPr lang="id-ID" b="1"/>
                    </a:pPr>
                    <a:r>
                      <a:rPr lang="en-US" b="1"/>
                      <a:t>N/A</a:t>
                    </a:r>
                  </a:p>
                </c:rich>
              </c:tx>
              <c:spPr/>
              <c:showVal val="1"/>
              <c:extLst>
                <c:ext xmlns:c15="http://schemas.microsoft.com/office/drawing/2012/chart" uri="{CE6537A1-D6FC-4f65-9D91-7224C49458BB}"/>
              </c:extLst>
            </c:dLbl>
            <c:dLbl>
              <c:idx val="19"/>
              <c:layout>
                <c:manualLayout>
                  <c:x val="2.1715526601520131E-3"/>
                  <c:y val="-2.9197080291970798E-2"/>
                </c:manualLayout>
              </c:layout>
              <c:tx>
                <c:rich>
                  <a:bodyPr/>
                  <a:lstStyle/>
                  <a:p>
                    <a:r>
                      <a:rPr lang="en-US"/>
                      <a:t>N/A</a:t>
                    </a:r>
                  </a:p>
                </c:rich>
              </c:tx>
              <c:showVal val="1"/>
              <c:extLst>
                <c:ext xmlns:c15="http://schemas.microsoft.com/office/drawing/2012/chart" uri="{CE6537A1-D6FC-4f65-9D91-7224C49458BB}"/>
              </c:extLst>
            </c:dLbl>
            <c:spPr>
              <a:noFill/>
              <a:ln>
                <a:noFill/>
              </a:ln>
              <a:effectLst/>
            </c:spPr>
            <c:txPr>
              <a:bodyPr/>
              <a:lstStyle/>
              <a:p>
                <a:pPr>
                  <a:defRPr lang="id-ID"/>
                </a:pPr>
                <a:endParaRPr lang="en-US"/>
              </a:p>
            </c:txPr>
            <c:showVal val="1"/>
            <c:extLst>
              <c:ext xmlns:c15="http://schemas.microsoft.com/office/drawing/2012/chart" uri="{CE6537A1-D6FC-4f65-9D91-7224C49458BB}">
                <c15:showLeaderLines val="0"/>
              </c:ext>
            </c:extLst>
          </c:dLbls>
          <c:cat>
            <c:multiLvlStrRef>
              <c:f>'[grafik daerah_Icha_8Des(1).xlsx]Grafik 3.6'!$C$5:$D$28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daerah_Icha_8Des(1).xlsx]Grafik 3.6'!$G$5:$G$28</c:f>
              <c:numCache>
                <c:formatCode>0%</c:formatCode>
                <c:ptCount val="24"/>
                <c:pt idx="0">
                  <c:v>0.96059713075005959</c:v>
                </c:pt>
                <c:pt idx="1">
                  <c:v>0.96630065587181702</c:v>
                </c:pt>
                <c:pt idx="2">
                  <c:v>0.9591311893383675</c:v>
                </c:pt>
                <c:pt idx="3">
                  <c:v>0.97664789761658799</c:v>
                </c:pt>
                <c:pt idx="4">
                  <c:v>0.93577525884494195</c:v>
                </c:pt>
                <c:pt idx="5">
                  <c:v>0.960711626827365</c:v>
                </c:pt>
                <c:pt idx="6">
                  <c:v>0.93937387119201698</c:v>
                </c:pt>
                <c:pt idx="7">
                  <c:v>0.95628349736609064</c:v>
                </c:pt>
                <c:pt idx="8">
                  <c:v>0</c:v>
                </c:pt>
                <c:pt idx="9">
                  <c:v>0</c:v>
                </c:pt>
                <c:pt idx="10">
                  <c:v>2.2212304375000928E-2</c:v>
                </c:pt>
                <c:pt idx="11">
                  <c:v>0</c:v>
                </c:pt>
                <c:pt idx="12">
                  <c:v>0.69982323002841795</c:v>
                </c:pt>
                <c:pt idx="13">
                  <c:v>8.6662675539378731E-3</c:v>
                </c:pt>
                <c:pt idx="14">
                  <c:v>0.31233019373504373</c:v>
                </c:pt>
                <c:pt idx="15">
                  <c:v>0.33196455190938373</c:v>
                </c:pt>
                <c:pt idx="16">
                  <c:v>0.56324006255336578</c:v>
                </c:pt>
                <c:pt idx="17">
                  <c:v>0.66148702235852608</c:v>
                </c:pt>
                <c:pt idx="18">
                  <c:v>0.59372591611990266</c:v>
                </c:pt>
                <c:pt idx="19">
                  <c:v>0</c:v>
                </c:pt>
                <c:pt idx="20">
                  <c:v>0.65235732561302995</c:v>
                </c:pt>
                <c:pt idx="21">
                  <c:v>0.7313557762181232</c:v>
                </c:pt>
                <c:pt idx="22">
                  <c:v>0.72465991100196403</c:v>
                </c:pt>
                <c:pt idx="23">
                  <c:v>0.74486273248946566</c:v>
                </c:pt>
              </c:numCache>
            </c:numRef>
          </c:val>
        </c:ser>
        <c:ser>
          <c:idx val="3"/>
          <c:order val="3"/>
          <c:tx>
            <c:strRef>
              <c:f>'[grafik daerah_Icha_8Des(1).xlsx]Grafik 3.6'!$H$4</c:f>
              <c:strCache>
                <c:ptCount val="1"/>
                <c:pt idx="0">
                  <c:v>Fisheries</c:v>
                </c:pt>
              </c:strCache>
            </c:strRef>
          </c:tx>
          <c:spPr>
            <a:solidFill>
              <a:srgbClr val="0070C0"/>
            </a:solidFill>
          </c:spPr>
          <c:cat>
            <c:multiLvlStrRef>
              <c:f>'[grafik daerah_Icha_8Des(1).xlsx]Grafik 3.6'!$C$5:$D$28</c:f>
              <c:multiLvlStrCache>
                <c:ptCount val="24"/>
                <c:lvl>
                  <c:pt idx="0">
                    <c:v>2009</c:v>
                  </c:pt>
                  <c:pt idx="1">
                    <c:v>2010</c:v>
                  </c:pt>
                  <c:pt idx="2">
                    <c:v>2011</c:v>
                  </c:pt>
                  <c:pt idx="3">
                    <c:v>2012</c:v>
                  </c:pt>
                  <c:pt idx="4">
                    <c:v>2009</c:v>
                  </c:pt>
                  <c:pt idx="5">
                    <c:v>2010</c:v>
                  </c:pt>
                  <c:pt idx="6">
                    <c:v>2011</c:v>
                  </c:pt>
                  <c:pt idx="7">
                    <c:v>2012</c:v>
                  </c:pt>
                  <c:pt idx="8">
                    <c:v>2009</c:v>
                  </c:pt>
                  <c:pt idx="9">
                    <c:v>2010</c:v>
                  </c:pt>
                  <c:pt idx="10">
                    <c:v>2011</c:v>
                  </c:pt>
                  <c:pt idx="11">
                    <c:v>2012</c:v>
                  </c:pt>
                  <c:pt idx="12">
                    <c:v>2009</c:v>
                  </c:pt>
                  <c:pt idx="13">
                    <c:v>2010</c:v>
                  </c:pt>
                  <c:pt idx="14">
                    <c:v>2011</c:v>
                  </c:pt>
                  <c:pt idx="15">
                    <c:v>2012</c:v>
                  </c:pt>
                  <c:pt idx="16">
                    <c:v>2009</c:v>
                  </c:pt>
                  <c:pt idx="17">
                    <c:v>2010</c:v>
                  </c:pt>
                  <c:pt idx="18">
                    <c:v>2011</c:v>
                  </c:pt>
                  <c:pt idx="19">
                    <c:v>2012</c:v>
                  </c:pt>
                  <c:pt idx="20">
                    <c:v>2009</c:v>
                  </c:pt>
                  <c:pt idx="21">
                    <c:v>2010</c:v>
                  </c:pt>
                  <c:pt idx="22">
                    <c:v>2011</c:v>
                  </c:pt>
                  <c:pt idx="23">
                    <c:v>2012</c:v>
                  </c:pt>
                </c:lvl>
                <c:lvl>
                  <c:pt idx="0">
                    <c:v>Musi Banyuasin</c:v>
                  </c:pt>
                  <c:pt idx="4">
                    <c:v>Musi Rawas</c:v>
                  </c:pt>
                  <c:pt idx="8">
                    <c:v>Sintang</c:v>
                  </c:pt>
                  <c:pt idx="12">
                    <c:v>Kubu Raya</c:v>
                  </c:pt>
                  <c:pt idx="16">
                    <c:v>Berau</c:v>
                  </c:pt>
                  <c:pt idx="20">
                    <c:v>Bulungan</c:v>
                  </c:pt>
                </c:lvl>
              </c:multiLvlStrCache>
            </c:multiLvlStrRef>
          </c:cat>
          <c:val>
            <c:numRef>
              <c:f>'[grafik daerah_Icha_8Des(1).xlsx]Grafik 3.6'!$H$5:$H$28</c:f>
              <c:numCache>
                <c:formatCode>0%</c:formatCode>
                <c:ptCount val="24"/>
                <c:pt idx="0">
                  <c:v>1.8805569473562538E-4</c:v>
                </c:pt>
                <c:pt idx="1">
                  <c:v>1.0670891065434716E-4</c:v>
                </c:pt>
                <c:pt idx="2">
                  <c:v>1.9639967322387824E-4</c:v>
                </c:pt>
                <c:pt idx="3">
                  <c:v>1.9241974385360045E-4</c:v>
                </c:pt>
                <c:pt idx="4">
                  <c:v>5.5048600262995711E-4</c:v>
                </c:pt>
                <c:pt idx="5">
                  <c:v>3.853309008233317E-4</c:v>
                </c:pt>
                <c:pt idx="6">
                  <c:v>8.2330386372861234E-4</c:v>
                </c:pt>
                <c:pt idx="7">
                  <c:v>8.3171356342149727E-4</c:v>
                </c:pt>
                <c:pt idx="8">
                  <c:v>2.6606337507624984E-2</c:v>
                </c:pt>
                <c:pt idx="9">
                  <c:v>9.8668865490017382E-3</c:v>
                </c:pt>
                <c:pt idx="10">
                  <c:v>0</c:v>
                </c:pt>
                <c:pt idx="11">
                  <c:v>1.8621244303301501E-2</c:v>
                </c:pt>
                <c:pt idx="12">
                  <c:v>1.6573485772453701E-2</c:v>
                </c:pt>
                <c:pt idx="13">
                  <c:v>3.7652157101389215E-2</c:v>
                </c:pt>
                <c:pt idx="14">
                  <c:v>2.570810843973011E-2</c:v>
                </c:pt>
                <c:pt idx="15">
                  <c:v>2.9862214678614045E-2</c:v>
                </c:pt>
                <c:pt idx="16">
                  <c:v>2.8854681872531501E-4</c:v>
                </c:pt>
                <c:pt idx="17">
                  <c:v>2.0287013693875365E-4</c:v>
                </c:pt>
                <c:pt idx="18">
                  <c:v>3.0222479773911931E-4</c:v>
                </c:pt>
                <c:pt idx="19">
                  <c:v>0</c:v>
                </c:pt>
                <c:pt idx="20">
                  <c:v>3.3458483988317003E-4</c:v>
                </c:pt>
                <c:pt idx="21">
                  <c:v>2.2250502181967049E-4</c:v>
                </c:pt>
                <c:pt idx="22">
                  <c:v>3.5890494811019144E-4</c:v>
                </c:pt>
                <c:pt idx="23">
                  <c:v>2.6425626556110038E-4</c:v>
                </c:pt>
              </c:numCache>
            </c:numRef>
          </c:val>
        </c:ser>
        <c:gapWidth val="30"/>
        <c:overlap val="100"/>
        <c:axId val="90015616"/>
        <c:axId val="90017152"/>
      </c:barChart>
      <c:catAx>
        <c:axId val="90015616"/>
        <c:scaling>
          <c:orientation val="minMax"/>
        </c:scaling>
        <c:axPos val="b"/>
        <c:numFmt formatCode="General" sourceLinked="0"/>
        <c:tickLblPos val="nextTo"/>
        <c:txPr>
          <a:bodyPr/>
          <a:lstStyle/>
          <a:p>
            <a:pPr>
              <a:defRPr lang="id-ID"/>
            </a:pPr>
            <a:endParaRPr lang="en-US"/>
          </a:p>
        </c:txPr>
        <c:crossAx val="90017152"/>
        <c:crosses val="autoZero"/>
        <c:auto val="1"/>
        <c:lblAlgn val="ctr"/>
        <c:lblOffset val="100"/>
      </c:catAx>
      <c:valAx>
        <c:axId val="90017152"/>
        <c:scaling>
          <c:orientation val="minMax"/>
        </c:scaling>
        <c:axPos val="l"/>
        <c:majorGridlines/>
        <c:numFmt formatCode="0%" sourceLinked="1"/>
        <c:tickLblPos val="nextTo"/>
        <c:txPr>
          <a:bodyPr/>
          <a:lstStyle/>
          <a:p>
            <a:pPr>
              <a:defRPr lang="id-ID"/>
            </a:pPr>
            <a:endParaRPr lang="en-US"/>
          </a:p>
        </c:txPr>
        <c:crossAx val="90015616"/>
        <c:crosses val="autoZero"/>
        <c:crossBetween val="between"/>
      </c:valAx>
    </c:plotArea>
    <c:legend>
      <c:legendPos val="b"/>
      <c:legendEntry>
        <c:idx val="0"/>
        <c:delete val="1"/>
      </c:legendEntry>
      <c:legendEntry>
        <c:idx val="1"/>
        <c:delete val="1"/>
      </c:legendEntry>
      <c:legendEntry>
        <c:idx val="2"/>
        <c:delete val="1"/>
      </c:legendEntry>
      <c:legendEntry>
        <c:idx val="3"/>
        <c:delete val="1"/>
      </c:legendEntry>
      <c:txPr>
        <a:bodyPr/>
        <a:lstStyle/>
        <a:p>
          <a:pPr>
            <a:defRPr lang="id-ID"/>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 3.7'!$E$17</c:f>
              <c:strCache>
                <c:ptCount val="1"/>
                <c:pt idx="0">
                  <c:v>Realized Transfer (LKPP)</c:v>
                </c:pt>
              </c:strCache>
            </c:strRef>
          </c:tx>
          <c:cat>
            <c:multiLvlStrRef>
              <c:f>'Grafik 3.7'!$C$18:$D$35</c:f>
              <c:multiLvlStrCache>
                <c:ptCount val="18"/>
                <c:lvl>
                  <c:pt idx="0">
                    <c:v>2009</c:v>
                  </c:pt>
                  <c:pt idx="1">
                    <c:v>2010</c:v>
                  </c:pt>
                  <c:pt idx="2">
                    <c:v>2011</c:v>
                  </c:pt>
                  <c:pt idx="3">
                    <c:v>2009</c:v>
                  </c:pt>
                  <c:pt idx="4">
                    <c:v>2010</c:v>
                  </c:pt>
                  <c:pt idx="5">
                    <c:v>2011</c:v>
                  </c:pt>
                  <c:pt idx="6">
                    <c:v>2009</c:v>
                  </c:pt>
                  <c:pt idx="7">
                    <c:v>2010</c:v>
                  </c:pt>
                  <c:pt idx="8">
                    <c:v>2011</c:v>
                  </c:pt>
                  <c:pt idx="9">
                    <c:v>2009</c:v>
                  </c:pt>
                  <c:pt idx="10">
                    <c:v>2010</c:v>
                  </c:pt>
                  <c:pt idx="11">
                    <c:v>2011</c:v>
                  </c:pt>
                  <c:pt idx="12">
                    <c:v>2009</c:v>
                  </c:pt>
                  <c:pt idx="13">
                    <c:v>2010</c:v>
                  </c:pt>
                  <c:pt idx="14">
                    <c:v>2011</c:v>
                  </c:pt>
                  <c:pt idx="15">
                    <c:v>2009</c:v>
                  </c:pt>
                  <c:pt idx="16">
                    <c:v>2010</c:v>
                  </c:pt>
                  <c:pt idx="17">
                    <c:v>2011</c:v>
                  </c:pt>
                </c:lvl>
                <c:lvl>
                  <c:pt idx="0">
                    <c:v>Musi Banyuasin</c:v>
                  </c:pt>
                  <c:pt idx="3">
                    <c:v>Musi Rawas</c:v>
                  </c:pt>
                  <c:pt idx="6">
                    <c:v>Sintang</c:v>
                  </c:pt>
                  <c:pt idx="9">
                    <c:v>Kubu Raya</c:v>
                  </c:pt>
                  <c:pt idx="12">
                    <c:v>Berau</c:v>
                  </c:pt>
                  <c:pt idx="15">
                    <c:v>Bulungan</c:v>
                  </c:pt>
                </c:lvl>
              </c:multiLvlStrCache>
            </c:multiLvlStrRef>
          </c:cat>
          <c:val>
            <c:numRef>
              <c:f>'Grafik 3.7'!$E$18:$E$35</c:f>
              <c:numCache>
                <c:formatCode>#,##0</c:formatCode>
                <c:ptCount val="18"/>
                <c:pt idx="0">
                  <c:v>20844.503250999969</c:v>
                </c:pt>
                <c:pt idx="1">
                  <c:v>34288.431466999988</c:v>
                </c:pt>
                <c:pt idx="2">
                  <c:v>23391.596955999998</c:v>
                </c:pt>
                <c:pt idx="3">
                  <c:v>3072.2053719999999</c:v>
                </c:pt>
                <c:pt idx="4">
                  <c:v>1606.1529129999985</c:v>
                </c:pt>
                <c:pt idx="5">
                  <c:v>1199.8090669999999</c:v>
                </c:pt>
                <c:pt idx="6">
                  <c:v>6444.7720589999999</c:v>
                </c:pt>
                <c:pt idx="7">
                  <c:v>13010.740283000006</c:v>
                </c:pt>
                <c:pt idx="8">
                  <c:v>8724.686617999987</c:v>
                </c:pt>
                <c:pt idx="9">
                  <c:v>1970.6988590000001</c:v>
                </c:pt>
                <c:pt idx="10">
                  <c:v>3576.3134120000054</c:v>
                </c:pt>
                <c:pt idx="11">
                  <c:v>6371.9058690000002</c:v>
                </c:pt>
                <c:pt idx="12">
                  <c:v>49469.476172000002</c:v>
                </c:pt>
                <c:pt idx="13">
                  <c:v>55676.150699000013</c:v>
                </c:pt>
                <c:pt idx="14">
                  <c:v>56101.049062999999</c:v>
                </c:pt>
                <c:pt idx="15">
                  <c:v>38261.777038</c:v>
                </c:pt>
                <c:pt idx="16">
                  <c:v>47928.018830000045</c:v>
                </c:pt>
                <c:pt idx="17">
                  <c:v>33677.526479999993</c:v>
                </c:pt>
              </c:numCache>
            </c:numRef>
          </c:val>
        </c:ser>
        <c:ser>
          <c:idx val="1"/>
          <c:order val="1"/>
          <c:tx>
            <c:strRef>
              <c:f>'Grafik 3.7'!$F$17</c:f>
              <c:strCache>
                <c:ptCount val="1"/>
                <c:pt idx="0">
                  <c:v>Realized Budget (APBD-R)</c:v>
                </c:pt>
              </c:strCache>
            </c:strRef>
          </c:tx>
          <c:cat>
            <c:multiLvlStrRef>
              <c:f>'Grafik 3.7'!$C$18:$D$35</c:f>
              <c:multiLvlStrCache>
                <c:ptCount val="18"/>
                <c:lvl>
                  <c:pt idx="0">
                    <c:v>2009</c:v>
                  </c:pt>
                  <c:pt idx="1">
                    <c:v>2010</c:v>
                  </c:pt>
                  <c:pt idx="2">
                    <c:v>2011</c:v>
                  </c:pt>
                  <c:pt idx="3">
                    <c:v>2009</c:v>
                  </c:pt>
                  <c:pt idx="4">
                    <c:v>2010</c:v>
                  </c:pt>
                  <c:pt idx="5">
                    <c:v>2011</c:v>
                  </c:pt>
                  <c:pt idx="6">
                    <c:v>2009</c:v>
                  </c:pt>
                  <c:pt idx="7">
                    <c:v>2010</c:v>
                  </c:pt>
                  <c:pt idx="8">
                    <c:v>2011</c:v>
                  </c:pt>
                  <c:pt idx="9">
                    <c:v>2009</c:v>
                  </c:pt>
                  <c:pt idx="10">
                    <c:v>2010</c:v>
                  </c:pt>
                  <c:pt idx="11">
                    <c:v>2011</c:v>
                  </c:pt>
                  <c:pt idx="12">
                    <c:v>2009</c:v>
                  </c:pt>
                  <c:pt idx="13">
                    <c:v>2010</c:v>
                  </c:pt>
                  <c:pt idx="14">
                    <c:v>2011</c:v>
                  </c:pt>
                  <c:pt idx="15">
                    <c:v>2009</c:v>
                  </c:pt>
                  <c:pt idx="16">
                    <c:v>2010</c:v>
                  </c:pt>
                  <c:pt idx="17">
                    <c:v>2011</c:v>
                  </c:pt>
                </c:lvl>
                <c:lvl>
                  <c:pt idx="0">
                    <c:v>Musi Banyuasin</c:v>
                  </c:pt>
                  <c:pt idx="3">
                    <c:v>Musi Rawas</c:v>
                  </c:pt>
                  <c:pt idx="6">
                    <c:v>Sintang</c:v>
                  </c:pt>
                  <c:pt idx="9">
                    <c:v>Kubu Raya</c:v>
                  </c:pt>
                  <c:pt idx="12">
                    <c:v>Berau</c:v>
                  </c:pt>
                  <c:pt idx="15">
                    <c:v>Bulungan</c:v>
                  </c:pt>
                </c:lvl>
              </c:multiLvlStrCache>
            </c:multiLvlStrRef>
          </c:cat>
          <c:val>
            <c:numRef>
              <c:f>'Grafik 3.7'!$F$18:$F$35</c:f>
              <c:numCache>
                <c:formatCode>#,##0</c:formatCode>
                <c:ptCount val="18"/>
                <c:pt idx="0">
                  <c:v>18983.074905000001</c:v>
                </c:pt>
                <c:pt idx="1">
                  <c:v>29054.515132</c:v>
                </c:pt>
                <c:pt idx="2">
                  <c:v>31186.725225999999</c:v>
                </c:pt>
                <c:pt idx="3">
                  <c:v>202.45775800000001</c:v>
                </c:pt>
                <c:pt idx="4">
                  <c:v>205.25766499999995</c:v>
                </c:pt>
                <c:pt idx="5">
                  <c:v>653.67412999999999</c:v>
                </c:pt>
                <c:pt idx="6">
                  <c:v>3547.9798989999999</c:v>
                </c:pt>
                <c:pt idx="7">
                  <c:v>12919.50214800001</c:v>
                </c:pt>
                <c:pt idx="8">
                  <c:v>8356.6923549999992</c:v>
                </c:pt>
                <c:pt idx="9">
                  <c:v>1700.558211</c:v>
                </c:pt>
                <c:pt idx="10">
                  <c:v>3034.5070260000002</c:v>
                </c:pt>
                <c:pt idx="11">
                  <c:v>6721.7678769999993</c:v>
                </c:pt>
                <c:pt idx="12">
                  <c:v>5250.6124910000099</c:v>
                </c:pt>
                <c:pt idx="13">
                  <c:v>55069.027152999995</c:v>
                </c:pt>
                <c:pt idx="14">
                  <c:v>52499.200680000002</c:v>
                </c:pt>
                <c:pt idx="15">
                  <c:v>35277.095921999986</c:v>
                </c:pt>
                <c:pt idx="16">
                  <c:v>51601.053503000003</c:v>
                </c:pt>
                <c:pt idx="17">
                  <c:v>33975.572348000002</c:v>
                </c:pt>
              </c:numCache>
            </c:numRef>
          </c:val>
        </c:ser>
        <c:gapWidth val="30"/>
        <c:axId val="90033536"/>
        <c:axId val="90195072"/>
      </c:barChart>
      <c:catAx>
        <c:axId val="90033536"/>
        <c:scaling>
          <c:orientation val="minMax"/>
        </c:scaling>
        <c:axPos val="b"/>
        <c:numFmt formatCode="General" sourceLinked="0"/>
        <c:tickLblPos val="nextTo"/>
        <c:txPr>
          <a:bodyPr/>
          <a:lstStyle/>
          <a:p>
            <a:pPr>
              <a:defRPr lang="id-ID"/>
            </a:pPr>
            <a:endParaRPr lang="en-US"/>
          </a:p>
        </c:txPr>
        <c:crossAx val="90195072"/>
        <c:crosses val="autoZero"/>
        <c:auto val="1"/>
        <c:lblAlgn val="ctr"/>
        <c:lblOffset val="100"/>
      </c:catAx>
      <c:valAx>
        <c:axId val="90195072"/>
        <c:scaling>
          <c:orientation val="minMax"/>
        </c:scaling>
        <c:axPos val="l"/>
        <c:majorGridlines/>
        <c:numFmt formatCode="#,##0" sourceLinked="1"/>
        <c:tickLblPos val="nextTo"/>
        <c:txPr>
          <a:bodyPr/>
          <a:lstStyle/>
          <a:p>
            <a:pPr>
              <a:defRPr lang="id-ID"/>
            </a:pPr>
            <a:endParaRPr lang="en-US"/>
          </a:p>
        </c:txPr>
        <c:crossAx val="90033536"/>
        <c:crosses val="autoZero"/>
        <c:crossBetween val="between"/>
      </c:valAx>
    </c:plotArea>
    <c:legend>
      <c:legendPos val="b"/>
      <c:txPr>
        <a:bodyPr/>
        <a:lstStyle/>
        <a:p>
          <a:pPr>
            <a:defRPr lang="id-ID"/>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'Grafik 3.8'!$E$10</c:f>
              <c:strCache>
                <c:ptCount val="1"/>
                <c:pt idx="0">
                  <c:v>Regional Revenue (2012 Constant Price)</c:v>
                </c:pt>
              </c:strCache>
            </c:strRef>
          </c:tx>
          <c:dLbls>
            <c:numFmt formatCode="#,##0" sourceLinked="0"/>
            <c:spPr>
              <a:noFill/>
              <a:ln>
                <a:noFill/>
              </a:ln>
              <a:effectLst/>
            </c:spPr>
            <c:txPr>
              <a:bodyPr/>
              <a:lstStyle/>
              <a:p>
                <a:pPr>
                  <a:defRPr lang="id-ID" sz="700">
                    <a:solidFill>
                      <a:schemeClr val="bg1"/>
                    </a:solidFill>
                  </a:defRPr>
                </a:pPr>
                <a:endParaRPr lang="en-US"/>
              </a:p>
            </c:txPr>
            <c:dLblPos val="inBase"/>
            <c:showVal val="1"/>
            <c:extLst>
              <c:ext xmlns:c15="http://schemas.microsoft.com/office/drawing/2012/chart" uri="{CE6537A1-D6FC-4f65-9D91-7224C49458BB}">
                <c15:showLeaderLines val="0"/>
              </c:ext>
            </c:extLst>
          </c:dLbls>
          <c:cat>
            <c:multiLvlStrRef>
              <c:f>'Grafik 3.8'!$C$11:$D$22</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3.8'!$E$11:$E$22</c:f>
              <c:numCache>
                <c:formatCode>_(* #,##0_);_(* \(#,##0\);_(* "-"??_);_(@_)</c:formatCode>
                <c:ptCount val="12"/>
                <c:pt idx="0">
                  <c:v>2735.7586247274894</c:v>
                </c:pt>
                <c:pt idx="1">
                  <c:v>3542.7042795796247</c:v>
                </c:pt>
                <c:pt idx="2">
                  <c:v>4074.183748220461</c:v>
                </c:pt>
                <c:pt idx="3">
                  <c:v>4939.1479500000005</c:v>
                </c:pt>
                <c:pt idx="4">
                  <c:v>1800.4075072342523</c:v>
                </c:pt>
                <c:pt idx="5">
                  <c:v>1955.6368448432729</c:v>
                </c:pt>
                <c:pt idx="6">
                  <c:v>2263.3974793917059</c:v>
                </c:pt>
                <c:pt idx="7">
                  <c:v>2837.4088533149998</c:v>
                </c:pt>
                <c:pt idx="8">
                  <c:v>6103.1231346861359</c:v>
                </c:pt>
                <c:pt idx="9">
                  <c:v>7740.461842482182</c:v>
                </c:pt>
                <c:pt idx="10">
                  <c:v>10092.549820319638</c:v>
                </c:pt>
                <c:pt idx="11">
                  <c:v>9102.6131000000005</c:v>
                </c:pt>
              </c:numCache>
            </c:numRef>
          </c:val>
        </c:ser>
        <c:gapWidth val="30"/>
        <c:axId val="90315776"/>
        <c:axId val="90325760"/>
      </c:barChart>
      <c:lineChart>
        <c:grouping val="standard"/>
        <c:ser>
          <c:idx val="1"/>
          <c:order val="1"/>
          <c:tx>
            <c:strRef>
              <c:f>'Grafik 3.8'!$F$10</c:f>
              <c:strCache>
                <c:ptCount val="1"/>
                <c:pt idx="0">
                  <c:v>Growth (%)</c:v>
                </c:pt>
              </c:strCache>
            </c:strRef>
          </c:tx>
          <c:marker>
            <c:symbol val="circle"/>
            <c:size val="7"/>
          </c:marker>
          <c:dLbls>
            <c:spPr>
              <a:solidFill>
                <a:srgbClr val="FFC000"/>
              </a:solidFill>
            </c:spPr>
            <c:txPr>
              <a:bodyPr/>
              <a:lstStyle/>
              <a:p>
                <a:pPr>
                  <a:defRPr lang="id-ID" sz="700">
                    <a:solidFill>
                      <a:sysClr val="windowText" lastClr="000000"/>
                    </a:solidFill>
                  </a:defRPr>
                </a:pPr>
                <a:endParaRPr lang="en-US"/>
              </a:p>
            </c:txPr>
            <c:dLblPos val="t"/>
            <c:showVal val="1"/>
            <c:extLst>
              <c:ext xmlns:c15="http://schemas.microsoft.com/office/drawing/2012/chart" uri="{CE6537A1-D6FC-4f65-9D91-7224C49458BB}">
                <c15:showLeaderLines val="0"/>
              </c:ext>
            </c:extLst>
          </c:dLbls>
          <c:cat>
            <c:multiLvlStrRef>
              <c:f>'Grafik 3.8'!$C$11:$D$22</c:f>
              <c:multiLvlStrCache>
                <c:ptCount val="12"/>
                <c:lvl>
                  <c:pt idx="0">
                    <c:v>2009</c:v>
                  </c:pt>
                  <c:pt idx="1">
                    <c:v>2010</c:v>
                  </c:pt>
                  <c:pt idx="2">
                    <c:v>2011</c:v>
                  </c:pt>
                  <c:pt idx="3">
                    <c:v>2012</c:v>
                  </c:pt>
                  <c:pt idx="4">
                    <c:v>2009</c:v>
                  </c:pt>
                  <c:pt idx="5">
                    <c:v>2010</c:v>
                  </c:pt>
                  <c:pt idx="6">
                    <c:v>2011</c:v>
                  </c:pt>
                  <c:pt idx="7">
                    <c:v>2012</c:v>
                  </c:pt>
                  <c:pt idx="8">
                    <c:v>2009</c:v>
                  </c:pt>
                  <c:pt idx="9">
                    <c:v>2010</c:v>
                  </c:pt>
                  <c:pt idx="10">
                    <c:v>2011</c:v>
                  </c:pt>
                  <c:pt idx="11">
                    <c:v>2012</c:v>
                  </c:pt>
                </c:lvl>
                <c:lvl>
                  <c:pt idx="0">
                    <c:v>South Sumatra</c:v>
                  </c:pt>
                  <c:pt idx="4">
                    <c:v>West Kalimantan</c:v>
                  </c:pt>
                  <c:pt idx="8">
                    <c:v>East Kalimantan</c:v>
                  </c:pt>
                </c:lvl>
              </c:multiLvlStrCache>
            </c:multiLvlStrRef>
          </c:cat>
          <c:val>
            <c:numRef>
              <c:f>'Grafik 3.8'!$F$11:$F$22</c:f>
              <c:numCache>
                <c:formatCode>0.0%</c:formatCode>
                <c:ptCount val="12"/>
                <c:pt idx="1">
                  <c:v>0.29496229950933833</c:v>
                </c:pt>
                <c:pt idx="2">
                  <c:v>0.15002083908169217</c:v>
                </c:pt>
                <c:pt idx="3">
                  <c:v>0.21230367976342299</c:v>
                </c:pt>
                <c:pt idx="5">
                  <c:v>8.6219001523428582E-2</c:v>
                </c:pt>
                <c:pt idx="6">
                  <c:v>0.15737105555152123</c:v>
                </c:pt>
                <c:pt idx="7">
                  <c:v>0.25360608516607602</c:v>
                </c:pt>
                <c:pt idx="9">
                  <c:v>0.26827882571965567</c:v>
                </c:pt>
                <c:pt idx="10">
                  <c:v>0.30386920389277366</c:v>
                </c:pt>
                <c:pt idx="11">
                  <c:v>-9.808588889267239E-2</c:v>
                </c:pt>
              </c:numCache>
            </c:numRef>
          </c:val>
          <c:smooth val="1"/>
        </c:ser>
        <c:marker val="1"/>
        <c:axId val="90333184"/>
        <c:axId val="90327296"/>
      </c:lineChart>
      <c:catAx>
        <c:axId val="90315776"/>
        <c:scaling>
          <c:orientation val="minMax"/>
        </c:scaling>
        <c:axPos val="b"/>
        <c:numFmt formatCode="General" sourceLinked="0"/>
        <c:tickLblPos val="nextTo"/>
        <c:txPr>
          <a:bodyPr rot="-5400000" vert="horz"/>
          <a:lstStyle/>
          <a:p>
            <a:pPr>
              <a:defRPr lang="id-ID"/>
            </a:pPr>
            <a:endParaRPr lang="en-US"/>
          </a:p>
        </c:txPr>
        <c:crossAx val="90325760"/>
        <c:crosses val="autoZero"/>
        <c:auto val="1"/>
        <c:lblAlgn val="ctr"/>
        <c:lblOffset val="100"/>
      </c:catAx>
      <c:valAx>
        <c:axId val="90325760"/>
        <c:scaling>
          <c:orientation val="minMax"/>
        </c:scaling>
        <c:axPos val="l"/>
        <c:majorGridlines/>
        <c:numFmt formatCode="_(* #,##0_);_(* \(#,##0\);_(* &quot;-&quot;??_);_(@_)" sourceLinked="1"/>
        <c:tickLblPos val="nextTo"/>
        <c:txPr>
          <a:bodyPr/>
          <a:lstStyle/>
          <a:p>
            <a:pPr>
              <a:defRPr lang="id-ID"/>
            </a:pPr>
            <a:endParaRPr lang="en-US"/>
          </a:p>
        </c:txPr>
        <c:crossAx val="90315776"/>
        <c:crosses val="autoZero"/>
        <c:crossBetween val="between"/>
      </c:valAx>
      <c:valAx>
        <c:axId val="90327296"/>
        <c:scaling>
          <c:orientation val="minMax"/>
        </c:scaling>
        <c:axPos val="r"/>
        <c:numFmt formatCode="0%" sourceLinked="0"/>
        <c:tickLblPos val="nextTo"/>
        <c:txPr>
          <a:bodyPr/>
          <a:lstStyle/>
          <a:p>
            <a:pPr>
              <a:defRPr lang="id-ID"/>
            </a:pPr>
            <a:endParaRPr lang="en-US"/>
          </a:p>
        </c:txPr>
        <c:crossAx val="90333184"/>
        <c:crosses val="max"/>
        <c:crossBetween val="between"/>
      </c:valAx>
      <c:catAx>
        <c:axId val="90333184"/>
        <c:scaling>
          <c:orientation val="minMax"/>
        </c:scaling>
        <c:delete val="1"/>
        <c:axPos val="b"/>
        <c:numFmt formatCode="General" sourceLinked="1"/>
        <c:tickLblPos val="none"/>
        <c:crossAx val="90327296"/>
        <c:crosses val="autoZero"/>
        <c:auto val="1"/>
        <c:lblAlgn val="ctr"/>
        <c:lblOffset val="100"/>
      </c:catAx>
    </c:plotArea>
    <c:legend>
      <c:legendPos val="b"/>
      <c:txPr>
        <a:bodyPr/>
        <a:lstStyle/>
        <a:p>
          <a:pPr>
            <a:defRPr lang="id-ID"/>
          </a:pPr>
          <a:endParaRPr lang="en-US"/>
        </a:p>
      </c:txPr>
    </c:legend>
    <c:plotVisOnly val="1"/>
    <c:dispBlanksAs val="gap"/>
  </c:chart>
  <c:txPr>
    <a:bodyPr/>
    <a:lstStyle/>
    <a:p>
      <a:pPr>
        <a:defRPr>
          <a:latin typeface="+mj-lt"/>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6743C6-04C4-4DCA-BAE6-65547E9C26F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DF4824EB-8033-4642-A2FF-4410F8A41D44}">
      <dgm:prSet phldrT="[Text]" custT="1"/>
      <dgm:spPr/>
      <dgm:t>
        <a:bodyPr/>
        <a:lstStyle/>
        <a:p>
          <a:r>
            <a:rPr lang="en-US" sz="1600" b="1"/>
            <a:t>Budget Policy </a:t>
          </a:r>
        </a:p>
      </dgm:t>
    </dgm:pt>
    <dgm:pt modelId="{761B1047-79A9-4CA2-B721-596B45611005}" type="parTrans" cxnId="{958826A5-9E21-40EC-98F4-A8F1A7190CAC}">
      <dgm:prSet/>
      <dgm:spPr/>
      <dgm:t>
        <a:bodyPr/>
        <a:lstStyle/>
        <a:p>
          <a:endParaRPr lang="en-US"/>
        </a:p>
      </dgm:t>
    </dgm:pt>
    <dgm:pt modelId="{13C4653F-42E3-406A-8820-6CC099DDEC32}" type="sibTrans" cxnId="{958826A5-9E21-40EC-98F4-A8F1A7190CAC}">
      <dgm:prSet/>
      <dgm:spPr/>
      <dgm:t>
        <a:bodyPr/>
        <a:lstStyle/>
        <a:p>
          <a:endParaRPr lang="en-US"/>
        </a:p>
      </dgm:t>
    </dgm:pt>
    <dgm:pt modelId="{8ECCBD7F-1437-4810-A1E1-7D61505BBD09}">
      <dgm:prSet phldrT="[Text]" custT="1"/>
      <dgm:spPr/>
      <dgm:t>
        <a:bodyPr/>
        <a:lstStyle/>
        <a:p>
          <a:r>
            <a:rPr lang="en-US" sz="1600" b="1"/>
            <a:t>Revenue</a:t>
          </a:r>
        </a:p>
      </dgm:t>
    </dgm:pt>
    <dgm:pt modelId="{3B717BB6-E763-47F2-AD82-92BC4428F6E6}" type="parTrans" cxnId="{F8DFF92D-DDBC-4AD4-A2BE-8D2701C77832}">
      <dgm:prSet/>
      <dgm:spPr/>
      <dgm:t>
        <a:bodyPr/>
        <a:lstStyle/>
        <a:p>
          <a:endParaRPr lang="en-US"/>
        </a:p>
      </dgm:t>
    </dgm:pt>
    <dgm:pt modelId="{4577D670-7546-4D7F-AB7D-03AD7F655FFF}" type="sibTrans" cxnId="{F8DFF92D-DDBC-4AD4-A2BE-8D2701C77832}">
      <dgm:prSet/>
      <dgm:spPr/>
      <dgm:t>
        <a:bodyPr/>
        <a:lstStyle/>
        <a:p>
          <a:endParaRPr lang="en-US"/>
        </a:p>
      </dgm:t>
    </dgm:pt>
    <dgm:pt modelId="{5C036CCA-301C-4815-A888-0D9944FCA17F}">
      <dgm:prSet phldrT="[Text]" custT="1"/>
      <dgm:spPr/>
      <dgm:t>
        <a:bodyPr/>
        <a:lstStyle/>
        <a:p>
          <a:r>
            <a:rPr lang="en-US" sz="1600" b="1"/>
            <a:t>Expenditure</a:t>
          </a:r>
        </a:p>
      </dgm:t>
    </dgm:pt>
    <dgm:pt modelId="{40B5BFF8-8E98-40AF-82B3-180F206B410C}" type="parTrans" cxnId="{D3FBF225-9822-47C3-91DD-F3D8CB75F46C}">
      <dgm:prSet/>
      <dgm:spPr/>
      <dgm:t>
        <a:bodyPr/>
        <a:lstStyle/>
        <a:p>
          <a:endParaRPr lang="en-US"/>
        </a:p>
      </dgm:t>
    </dgm:pt>
    <dgm:pt modelId="{1AEB31BC-15A8-4976-9631-BB2AA8DA40E4}" type="sibTrans" cxnId="{D3FBF225-9822-47C3-91DD-F3D8CB75F46C}">
      <dgm:prSet/>
      <dgm:spPr/>
      <dgm:t>
        <a:bodyPr/>
        <a:lstStyle/>
        <a:p>
          <a:endParaRPr lang="en-US"/>
        </a:p>
      </dgm:t>
    </dgm:pt>
    <dgm:pt modelId="{75CA8EAF-956A-4578-81CC-DF01350FCAFD}">
      <dgm:prSet phldrT="[Text]" custT="1"/>
      <dgm:spPr/>
      <dgm:t>
        <a:bodyPr/>
        <a:lstStyle/>
        <a:p>
          <a:r>
            <a:rPr lang="en-US" sz="1600" b="1"/>
            <a:t>Funding</a:t>
          </a:r>
        </a:p>
      </dgm:t>
    </dgm:pt>
    <dgm:pt modelId="{939D1B47-1DBC-498D-8272-166FE90279F9}" type="parTrans" cxnId="{983FCA94-1562-4813-9D21-B2369950A8EF}">
      <dgm:prSet/>
      <dgm:spPr/>
      <dgm:t>
        <a:bodyPr/>
        <a:lstStyle/>
        <a:p>
          <a:endParaRPr lang="en-US"/>
        </a:p>
      </dgm:t>
    </dgm:pt>
    <dgm:pt modelId="{4B0DE0CA-F5B3-4E15-B069-4FD611C8E899}" type="sibTrans" cxnId="{983FCA94-1562-4813-9D21-B2369950A8EF}">
      <dgm:prSet/>
      <dgm:spPr/>
      <dgm:t>
        <a:bodyPr/>
        <a:lstStyle/>
        <a:p>
          <a:endParaRPr lang="en-US"/>
        </a:p>
      </dgm:t>
    </dgm:pt>
    <dgm:pt modelId="{30EFEA92-1333-4517-9795-7891692A2094}">
      <dgm:prSet phldrT="[Text]" custT="1"/>
      <dgm:spPr/>
      <dgm:t>
        <a:bodyPr/>
        <a:lstStyle/>
        <a:p>
          <a:r>
            <a:rPr lang="en-US" sz="900"/>
            <a:t>Create incentives via tax and royalties to reduce deforestation and land and forest degradation </a:t>
          </a:r>
        </a:p>
      </dgm:t>
    </dgm:pt>
    <dgm:pt modelId="{8A314041-4015-4D5F-A223-A76CE3C5A629}" type="parTrans" cxnId="{94C4786B-5DF6-4F29-80F5-F6EF3D1ABBF8}">
      <dgm:prSet/>
      <dgm:spPr/>
      <dgm:t>
        <a:bodyPr/>
        <a:lstStyle/>
        <a:p>
          <a:endParaRPr lang="en-US"/>
        </a:p>
      </dgm:t>
    </dgm:pt>
    <dgm:pt modelId="{1C95F6DE-0700-47B4-A8C7-8B6B90467EA0}" type="sibTrans" cxnId="{94C4786B-5DF6-4F29-80F5-F6EF3D1ABBF8}">
      <dgm:prSet/>
      <dgm:spPr/>
      <dgm:t>
        <a:bodyPr/>
        <a:lstStyle/>
        <a:p>
          <a:endParaRPr lang="en-US"/>
        </a:p>
      </dgm:t>
    </dgm:pt>
    <dgm:pt modelId="{45FD5CBE-6FB3-4856-819E-143A98D060C1}">
      <dgm:prSet phldrT="[Text]" custT="1"/>
      <dgm:spPr/>
      <dgm:t>
        <a:bodyPr/>
        <a:lstStyle/>
        <a:p>
          <a:r>
            <a:rPr lang="en-US" sz="900"/>
            <a:t>Ensure expenditure allocations are efficient in supporting priority programs and activities </a:t>
          </a:r>
        </a:p>
      </dgm:t>
    </dgm:pt>
    <dgm:pt modelId="{80F10EDD-C303-4834-8491-23AC98664143}" type="parTrans" cxnId="{F37587A1-4D21-4838-ADC3-85E61F893AFC}">
      <dgm:prSet/>
      <dgm:spPr/>
      <dgm:t>
        <a:bodyPr/>
        <a:lstStyle/>
        <a:p>
          <a:endParaRPr lang="en-US"/>
        </a:p>
      </dgm:t>
    </dgm:pt>
    <dgm:pt modelId="{60F0E298-2B2E-4577-BAAC-76F9EF0E1ABB}" type="sibTrans" cxnId="{F37587A1-4D21-4838-ADC3-85E61F893AFC}">
      <dgm:prSet/>
      <dgm:spPr/>
      <dgm:t>
        <a:bodyPr/>
        <a:lstStyle/>
        <a:p>
          <a:endParaRPr lang="en-US"/>
        </a:p>
      </dgm:t>
    </dgm:pt>
    <dgm:pt modelId="{478F809F-668D-430F-8983-4604B0AF95D9}">
      <dgm:prSet phldrT="[Text]" custT="1"/>
      <dgm:spPr/>
      <dgm:t>
        <a:bodyPr/>
        <a:lstStyle/>
        <a:p>
          <a:r>
            <a:rPr lang="en-US" sz="1050"/>
            <a:t>Ensure that budgets are used and realized effectively</a:t>
          </a:r>
        </a:p>
      </dgm:t>
    </dgm:pt>
    <dgm:pt modelId="{E4854739-4C46-48EA-9C7B-734547B5E1E4}" type="parTrans" cxnId="{B72DB837-EBA0-4B71-8D67-9C724CC1995B}">
      <dgm:prSet/>
      <dgm:spPr/>
      <dgm:t>
        <a:bodyPr/>
        <a:lstStyle/>
        <a:p>
          <a:endParaRPr lang="en-US"/>
        </a:p>
      </dgm:t>
    </dgm:pt>
    <dgm:pt modelId="{C83D3376-47C3-4FEC-8FBF-994E718E4462}" type="sibTrans" cxnId="{B72DB837-EBA0-4B71-8D67-9C724CC1995B}">
      <dgm:prSet/>
      <dgm:spPr/>
      <dgm:t>
        <a:bodyPr/>
        <a:lstStyle/>
        <a:p>
          <a:endParaRPr lang="en-US"/>
        </a:p>
      </dgm:t>
    </dgm:pt>
    <dgm:pt modelId="{EA137CD0-3506-42DF-B0BB-C21BF2F6AD22}">
      <dgm:prSet phldrT="[Text]" custT="1"/>
      <dgm:spPr/>
      <dgm:t>
        <a:bodyPr/>
        <a:lstStyle/>
        <a:p>
          <a:r>
            <a:rPr lang="en-US" sz="1050"/>
            <a:t>Ensure equitable investment for green business</a:t>
          </a:r>
        </a:p>
      </dgm:t>
    </dgm:pt>
    <dgm:pt modelId="{6B035754-9175-4B58-B382-4E1C2077EB17}" type="parTrans" cxnId="{D79EE56F-27A0-47B0-8DD3-8738C2C307F5}">
      <dgm:prSet/>
      <dgm:spPr/>
      <dgm:t>
        <a:bodyPr/>
        <a:lstStyle/>
        <a:p>
          <a:endParaRPr lang="en-US"/>
        </a:p>
      </dgm:t>
    </dgm:pt>
    <dgm:pt modelId="{DCE4C5E1-7EF6-4240-A4A8-9A0FAE1A3192}" type="sibTrans" cxnId="{D79EE56F-27A0-47B0-8DD3-8738C2C307F5}">
      <dgm:prSet/>
      <dgm:spPr/>
      <dgm:t>
        <a:bodyPr/>
        <a:lstStyle/>
        <a:p>
          <a:endParaRPr lang="en-US"/>
        </a:p>
      </dgm:t>
    </dgm:pt>
    <dgm:pt modelId="{36FC183A-2DA2-4247-97A3-5CB5C1B03146}">
      <dgm:prSet phldrT="[Text]" custT="1"/>
      <dgm:spPr/>
      <dgm:t>
        <a:bodyPr/>
        <a:lstStyle/>
        <a:p>
          <a:r>
            <a:rPr lang="en-US" sz="1000"/>
            <a:t>Ensure budget optimization (reduce surplus for priority programs)</a:t>
          </a:r>
        </a:p>
      </dgm:t>
    </dgm:pt>
    <dgm:pt modelId="{DFCA19DB-9519-4889-9271-1DAA82C6BA16}" type="parTrans" cxnId="{B07F02BE-2C5F-4A1D-AFEC-9C250C15FC79}">
      <dgm:prSet/>
      <dgm:spPr/>
      <dgm:t>
        <a:bodyPr/>
        <a:lstStyle/>
        <a:p>
          <a:endParaRPr lang="en-US"/>
        </a:p>
      </dgm:t>
    </dgm:pt>
    <dgm:pt modelId="{E5D6EA80-E3F0-4F3E-88F8-570A5E723C35}" type="sibTrans" cxnId="{B07F02BE-2C5F-4A1D-AFEC-9C250C15FC79}">
      <dgm:prSet/>
      <dgm:spPr/>
      <dgm:t>
        <a:bodyPr/>
        <a:lstStyle/>
        <a:p>
          <a:endParaRPr lang="en-US"/>
        </a:p>
      </dgm:t>
    </dgm:pt>
    <dgm:pt modelId="{414DED05-95C0-4280-904A-1CC7F4A6ED54}" type="pres">
      <dgm:prSet presAssocID="{C86743C6-04C4-4DCA-BAE6-65547E9C26FF}" presName="diagram" presStyleCnt="0">
        <dgm:presLayoutVars>
          <dgm:chPref val="1"/>
          <dgm:dir/>
          <dgm:animOne val="branch"/>
          <dgm:animLvl val="lvl"/>
          <dgm:resizeHandles val="exact"/>
        </dgm:presLayoutVars>
      </dgm:prSet>
      <dgm:spPr/>
      <dgm:t>
        <a:bodyPr/>
        <a:lstStyle/>
        <a:p>
          <a:endParaRPr lang="en-US"/>
        </a:p>
      </dgm:t>
    </dgm:pt>
    <dgm:pt modelId="{A49A4A4B-953C-467E-BDB3-446B46E08C4B}" type="pres">
      <dgm:prSet presAssocID="{DF4824EB-8033-4642-A2FF-4410F8A41D44}" presName="root1" presStyleCnt="0"/>
      <dgm:spPr/>
    </dgm:pt>
    <dgm:pt modelId="{A461B47D-DC7D-4A7F-A6B1-2EA292A1D4EB}" type="pres">
      <dgm:prSet presAssocID="{DF4824EB-8033-4642-A2FF-4410F8A41D44}" presName="LevelOneTextNode" presStyleLbl="node0" presStyleIdx="0" presStyleCnt="1">
        <dgm:presLayoutVars>
          <dgm:chPref val="3"/>
        </dgm:presLayoutVars>
      </dgm:prSet>
      <dgm:spPr/>
      <dgm:t>
        <a:bodyPr/>
        <a:lstStyle/>
        <a:p>
          <a:endParaRPr lang="en-US"/>
        </a:p>
      </dgm:t>
    </dgm:pt>
    <dgm:pt modelId="{0E31787F-9116-4A57-8CDF-0874240D6C79}" type="pres">
      <dgm:prSet presAssocID="{DF4824EB-8033-4642-A2FF-4410F8A41D44}" presName="level2hierChild" presStyleCnt="0"/>
      <dgm:spPr/>
    </dgm:pt>
    <dgm:pt modelId="{983D512D-2029-4B54-9E54-88EB971F689B}" type="pres">
      <dgm:prSet presAssocID="{3B717BB6-E763-47F2-AD82-92BC4428F6E6}" presName="conn2-1" presStyleLbl="parChTrans1D2" presStyleIdx="0" presStyleCnt="3"/>
      <dgm:spPr/>
      <dgm:t>
        <a:bodyPr/>
        <a:lstStyle/>
        <a:p>
          <a:endParaRPr lang="en-US"/>
        </a:p>
      </dgm:t>
    </dgm:pt>
    <dgm:pt modelId="{3B0D51CF-B26A-4F40-BD66-FDA5B88E07D7}" type="pres">
      <dgm:prSet presAssocID="{3B717BB6-E763-47F2-AD82-92BC4428F6E6}" presName="connTx" presStyleLbl="parChTrans1D2" presStyleIdx="0" presStyleCnt="3"/>
      <dgm:spPr/>
      <dgm:t>
        <a:bodyPr/>
        <a:lstStyle/>
        <a:p>
          <a:endParaRPr lang="en-US"/>
        </a:p>
      </dgm:t>
    </dgm:pt>
    <dgm:pt modelId="{9FE47BD4-EFAF-4DA8-AFF8-462C13EB46FE}" type="pres">
      <dgm:prSet presAssocID="{8ECCBD7F-1437-4810-A1E1-7D61505BBD09}" presName="root2" presStyleCnt="0"/>
      <dgm:spPr/>
    </dgm:pt>
    <dgm:pt modelId="{49EF6506-BCD0-4A32-B261-C71D5D3BED9C}" type="pres">
      <dgm:prSet presAssocID="{8ECCBD7F-1437-4810-A1E1-7D61505BBD09}" presName="LevelTwoTextNode" presStyleLbl="node2" presStyleIdx="0" presStyleCnt="3">
        <dgm:presLayoutVars>
          <dgm:chPref val="3"/>
        </dgm:presLayoutVars>
      </dgm:prSet>
      <dgm:spPr/>
      <dgm:t>
        <a:bodyPr/>
        <a:lstStyle/>
        <a:p>
          <a:endParaRPr lang="en-US"/>
        </a:p>
      </dgm:t>
    </dgm:pt>
    <dgm:pt modelId="{8CEA4F53-5E06-462C-8DD0-3D188F58DFC6}" type="pres">
      <dgm:prSet presAssocID="{8ECCBD7F-1437-4810-A1E1-7D61505BBD09}" presName="level3hierChild" presStyleCnt="0"/>
      <dgm:spPr/>
    </dgm:pt>
    <dgm:pt modelId="{B4414C69-60A0-4AFA-93E7-CFC0BC405A24}" type="pres">
      <dgm:prSet presAssocID="{8A314041-4015-4D5F-A223-A76CE3C5A629}" presName="conn2-1" presStyleLbl="parChTrans1D3" presStyleIdx="0" presStyleCnt="5"/>
      <dgm:spPr/>
      <dgm:t>
        <a:bodyPr/>
        <a:lstStyle/>
        <a:p>
          <a:endParaRPr lang="en-US"/>
        </a:p>
      </dgm:t>
    </dgm:pt>
    <dgm:pt modelId="{C52AE039-28A8-47D3-84C2-A38D036F3306}" type="pres">
      <dgm:prSet presAssocID="{8A314041-4015-4D5F-A223-A76CE3C5A629}" presName="connTx" presStyleLbl="parChTrans1D3" presStyleIdx="0" presStyleCnt="5"/>
      <dgm:spPr/>
      <dgm:t>
        <a:bodyPr/>
        <a:lstStyle/>
        <a:p>
          <a:endParaRPr lang="en-US"/>
        </a:p>
      </dgm:t>
    </dgm:pt>
    <dgm:pt modelId="{7D1D5FB1-CFF9-4152-A734-709652F8C828}" type="pres">
      <dgm:prSet presAssocID="{30EFEA92-1333-4517-9795-7891692A2094}" presName="root2" presStyleCnt="0"/>
      <dgm:spPr/>
    </dgm:pt>
    <dgm:pt modelId="{E4949F94-9EBE-43A7-83EB-F57CABF0A202}" type="pres">
      <dgm:prSet presAssocID="{30EFEA92-1333-4517-9795-7891692A2094}" presName="LevelTwoTextNode" presStyleLbl="node3" presStyleIdx="0" presStyleCnt="5">
        <dgm:presLayoutVars>
          <dgm:chPref val="3"/>
        </dgm:presLayoutVars>
      </dgm:prSet>
      <dgm:spPr/>
      <dgm:t>
        <a:bodyPr/>
        <a:lstStyle/>
        <a:p>
          <a:endParaRPr lang="en-US"/>
        </a:p>
      </dgm:t>
    </dgm:pt>
    <dgm:pt modelId="{26D0F3D0-C5E9-4474-84F8-B2D15DCDE729}" type="pres">
      <dgm:prSet presAssocID="{30EFEA92-1333-4517-9795-7891692A2094}" presName="level3hierChild" presStyleCnt="0"/>
      <dgm:spPr/>
    </dgm:pt>
    <dgm:pt modelId="{33433A0C-9F81-42E0-A9CD-0EC6D9D8992D}" type="pres">
      <dgm:prSet presAssocID="{40B5BFF8-8E98-40AF-82B3-180F206B410C}" presName="conn2-1" presStyleLbl="parChTrans1D2" presStyleIdx="1" presStyleCnt="3"/>
      <dgm:spPr/>
      <dgm:t>
        <a:bodyPr/>
        <a:lstStyle/>
        <a:p>
          <a:endParaRPr lang="en-US"/>
        </a:p>
      </dgm:t>
    </dgm:pt>
    <dgm:pt modelId="{67EC1CAC-55FB-48D9-9ACF-A1486CF18420}" type="pres">
      <dgm:prSet presAssocID="{40B5BFF8-8E98-40AF-82B3-180F206B410C}" presName="connTx" presStyleLbl="parChTrans1D2" presStyleIdx="1" presStyleCnt="3"/>
      <dgm:spPr/>
      <dgm:t>
        <a:bodyPr/>
        <a:lstStyle/>
        <a:p>
          <a:endParaRPr lang="en-US"/>
        </a:p>
      </dgm:t>
    </dgm:pt>
    <dgm:pt modelId="{AB30720A-08A8-4AD7-BF05-C08C3AC2AD04}" type="pres">
      <dgm:prSet presAssocID="{5C036CCA-301C-4815-A888-0D9944FCA17F}" presName="root2" presStyleCnt="0"/>
      <dgm:spPr/>
    </dgm:pt>
    <dgm:pt modelId="{4A1E7985-8D28-4699-BDB8-362EFFF76A06}" type="pres">
      <dgm:prSet presAssocID="{5C036CCA-301C-4815-A888-0D9944FCA17F}" presName="LevelTwoTextNode" presStyleLbl="node2" presStyleIdx="1" presStyleCnt="3">
        <dgm:presLayoutVars>
          <dgm:chPref val="3"/>
        </dgm:presLayoutVars>
      </dgm:prSet>
      <dgm:spPr/>
      <dgm:t>
        <a:bodyPr/>
        <a:lstStyle/>
        <a:p>
          <a:endParaRPr lang="en-US"/>
        </a:p>
      </dgm:t>
    </dgm:pt>
    <dgm:pt modelId="{2EA04FE9-FE78-46DC-B55E-87E6881A6520}" type="pres">
      <dgm:prSet presAssocID="{5C036CCA-301C-4815-A888-0D9944FCA17F}" presName="level3hierChild" presStyleCnt="0"/>
      <dgm:spPr/>
    </dgm:pt>
    <dgm:pt modelId="{9712D045-485B-412D-8C2A-FDD00972406C}" type="pres">
      <dgm:prSet presAssocID="{80F10EDD-C303-4834-8491-23AC98664143}" presName="conn2-1" presStyleLbl="parChTrans1D3" presStyleIdx="1" presStyleCnt="5"/>
      <dgm:spPr/>
      <dgm:t>
        <a:bodyPr/>
        <a:lstStyle/>
        <a:p>
          <a:endParaRPr lang="en-US"/>
        </a:p>
      </dgm:t>
    </dgm:pt>
    <dgm:pt modelId="{4A6C6C3C-B12D-433E-BBC6-0E87FFCCE8D7}" type="pres">
      <dgm:prSet presAssocID="{80F10EDD-C303-4834-8491-23AC98664143}" presName="connTx" presStyleLbl="parChTrans1D3" presStyleIdx="1" presStyleCnt="5"/>
      <dgm:spPr/>
      <dgm:t>
        <a:bodyPr/>
        <a:lstStyle/>
        <a:p>
          <a:endParaRPr lang="en-US"/>
        </a:p>
      </dgm:t>
    </dgm:pt>
    <dgm:pt modelId="{25EC2657-B763-4400-AB3D-2518FEC808B2}" type="pres">
      <dgm:prSet presAssocID="{45FD5CBE-6FB3-4856-819E-143A98D060C1}" presName="root2" presStyleCnt="0"/>
      <dgm:spPr/>
    </dgm:pt>
    <dgm:pt modelId="{F53EF08B-FA84-4204-9572-EDB2C652A90A}" type="pres">
      <dgm:prSet presAssocID="{45FD5CBE-6FB3-4856-819E-143A98D060C1}" presName="LevelTwoTextNode" presStyleLbl="node3" presStyleIdx="1" presStyleCnt="5">
        <dgm:presLayoutVars>
          <dgm:chPref val="3"/>
        </dgm:presLayoutVars>
      </dgm:prSet>
      <dgm:spPr/>
      <dgm:t>
        <a:bodyPr/>
        <a:lstStyle/>
        <a:p>
          <a:endParaRPr lang="en-US"/>
        </a:p>
      </dgm:t>
    </dgm:pt>
    <dgm:pt modelId="{D0685DF4-CBA8-4D72-9EBF-BA5A506A3449}" type="pres">
      <dgm:prSet presAssocID="{45FD5CBE-6FB3-4856-819E-143A98D060C1}" presName="level3hierChild" presStyleCnt="0"/>
      <dgm:spPr/>
    </dgm:pt>
    <dgm:pt modelId="{0E01691F-940B-490B-B672-AD6C1CD17BD1}" type="pres">
      <dgm:prSet presAssocID="{E4854739-4C46-48EA-9C7B-734547B5E1E4}" presName="conn2-1" presStyleLbl="parChTrans1D3" presStyleIdx="2" presStyleCnt="5"/>
      <dgm:spPr/>
      <dgm:t>
        <a:bodyPr/>
        <a:lstStyle/>
        <a:p>
          <a:endParaRPr lang="en-US"/>
        </a:p>
      </dgm:t>
    </dgm:pt>
    <dgm:pt modelId="{7EB018F8-C77E-4013-9A46-F16897764191}" type="pres">
      <dgm:prSet presAssocID="{E4854739-4C46-48EA-9C7B-734547B5E1E4}" presName="connTx" presStyleLbl="parChTrans1D3" presStyleIdx="2" presStyleCnt="5"/>
      <dgm:spPr/>
      <dgm:t>
        <a:bodyPr/>
        <a:lstStyle/>
        <a:p>
          <a:endParaRPr lang="en-US"/>
        </a:p>
      </dgm:t>
    </dgm:pt>
    <dgm:pt modelId="{46B2EDB6-CD4C-4C3E-81CF-470EF8FBDDA4}" type="pres">
      <dgm:prSet presAssocID="{478F809F-668D-430F-8983-4604B0AF95D9}" presName="root2" presStyleCnt="0"/>
      <dgm:spPr/>
    </dgm:pt>
    <dgm:pt modelId="{0ABA3002-CE65-4406-A0A1-A67B8BA0B106}" type="pres">
      <dgm:prSet presAssocID="{478F809F-668D-430F-8983-4604B0AF95D9}" presName="LevelTwoTextNode" presStyleLbl="node3" presStyleIdx="2" presStyleCnt="5">
        <dgm:presLayoutVars>
          <dgm:chPref val="3"/>
        </dgm:presLayoutVars>
      </dgm:prSet>
      <dgm:spPr/>
      <dgm:t>
        <a:bodyPr/>
        <a:lstStyle/>
        <a:p>
          <a:endParaRPr lang="en-US"/>
        </a:p>
      </dgm:t>
    </dgm:pt>
    <dgm:pt modelId="{94918A1C-F0F3-4257-82CD-20551602A5AD}" type="pres">
      <dgm:prSet presAssocID="{478F809F-668D-430F-8983-4604B0AF95D9}" presName="level3hierChild" presStyleCnt="0"/>
      <dgm:spPr/>
    </dgm:pt>
    <dgm:pt modelId="{75DC297A-71EC-4FFC-8D12-228B6E4D95AA}" type="pres">
      <dgm:prSet presAssocID="{939D1B47-1DBC-498D-8272-166FE90279F9}" presName="conn2-1" presStyleLbl="parChTrans1D2" presStyleIdx="2" presStyleCnt="3"/>
      <dgm:spPr/>
      <dgm:t>
        <a:bodyPr/>
        <a:lstStyle/>
        <a:p>
          <a:endParaRPr lang="en-US"/>
        </a:p>
      </dgm:t>
    </dgm:pt>
    <dgm:pt modelId="{35F6DCDA-A644-4AC4-938F-AF908D86092E}" type="pres">
      <dgm:prSet presAssocID="{939D1B47-1DBC-498D-8272-166FE90279F9}" presName="connTx" presStyleLbl="parChTrans1D2" presStyleIdx="2" presStyleCnt="3"/>
      <dgm:spPr/>
      <dgm:t>
        <a:bodyPr/>
        <a:lstStyle/>
        <a:p>
          <a:endParaRPr lang="en-US"/>
        </a:p>
      </dgm:t>
    </dgm:pt>
    <dgm:pt modelId="{3384E9B1-662A-4DD3-B332-1A34AAF48D66}" type="pres">
      <dgm:prSet presAssocID="{75CA8EAF-956A-4578-81CC-DF01350FCAFD}" presName="root2" presStyleCnt="0"/>
      <dgm:spPr/>
    </dgm:pt>
    <dgm:pt modelId="{DD038893-4D56-475E-8FD7-28EC5316C952}" type="pres">
      <dgm:prSet presAssocID="{75CA8EAF-956A-4578-81CC-DF01350FCAFD}" presName="LevelTwoTextNode" presStyleLbl="node2" presStyleIdx="2" presStyleCnt="3">
        <dgm:presLayoutVars>
          <dgm:chPref val="3"/>
        </dgm:presLayoutVars>
      </dgm:prSet>
      <dgm:spPr/>
      <dgm:t>
        <a:bodyPr/>
        <a:lstStyle/>
        <a:p>
          <a:endParaRPr lang="en-US"/>
        </a:p>
      </dgm:t>
    </dgm:pt>
    <dgm:pt modelId="{9D16592D-F347-4176-B07E-34854A5F25C7}" type="pres">
      <dgm:prSet presAssocID="{75CA8EAF-956A-4578-81CC-DF01350FCAFD}" presName="level3hierChild" presStyleCnt="0"/>
      <dgm:spPr/>
    </dgm:pt>
    <dgm:pt modelId="{A9F51C56-1052-43FA-87E0-E3A3C5669D42}" type="pres">
      <dgm:prSet presAssocID="{6B035754-9175-4B58-B382-4E1C2077EB17}" presName="conn2-1" presStyleLbl="parChTrans1D3" presStyleIdx="3" presStyleCnt="5"/>
      <dgm:spPr/>
      <dgm:t>
        <a:bodyPr/>
        <a:lstStyle/>
        <a:p>
          <a:endParaRPr lang="en-US"/>
        </a:p>
      </dgm:t>
    </dgm:pt>
    <dgm:pt modelId="{645A00F8-C5B0-4F95-8666-98FB495B5729}" type="pres">
      <dgm:prSet presAssocID="{6B035754-9175-4B58-B382-4E1C2077EB17}" presName="connTx" presStyleLbl="parChTrans1D3" presStyleIdx="3" presStyleCnt="5"/>
      <dgm:spPr/>
      <dgm:t>
        <a:bodyPr/>
        <a:lstStyle/>
        <a:p>
          <a:endParaRPr lang="en-US"/>
        </a:p>
      </dgm:t>
    </dgm:pt>
    <dgm:pt modelId="{887206B7-2C6D-4C83-AC67-A49025BA1934}" type="pres">
      <dgm:prSet presAssocID="{EA137CD0-3506-42DF-B0BB-C21BF2F6AD22}" presName="root2" presStyleCnt="0"/>
      <dgm:spPr/>
    </dgm:pt>
    <dgm:pt modelId="{B5F60F7F-8AA8-4AEC-94F3-99FA61B9724A}" type="pres">
      <dgm:prSet presAssocID="{EA137CD0-3506-42DF-B0BB-C21BF2F6AD22}" presName="LevelTwoTextNode" presStyleLbl="node3" presStyleIdx="3" presStyleCnt="5">
        <dgm:presLayoutVars>
          <dgm:chPref val="3"/>
        </dgm:presLayoutVars>
      </dgm:prSet>
      <dgm:spPr/>
      <dgm:t>
        <a:bodyPr/>
        <a:lstStyle/>
        <a:p>
          <a:endParaRPr lang="en-US"/>
        </a:p>
      </dgm:t>
    </dgm:pt>
    <dgm:pt modelId="{FC0151BB-9C78-4B4B-8554-115F909BA4F0}" type="pres">
      <dgm:prSet presAssocID="{EA137CD0-3506-42DF-B0BB-C21BF2F6AD22}" presName="level3hierChild" presStyleCnt="0"/>
      <dgm:spPr/>
    </dgm:pt>
    <dgm:pt modelId="{D51FEC16-336B-47BC-B162-C314961BAF22}" type="pres">
      <dgm:prSet presAssocID="{DFCA19DB-9519-4889-9271-1DAA82C6BA16}" presName="conn2-1" presStyleLbl="parChTrans1D3" presStyleIdx="4" presStyleCnt="5"/>
      <dgm:spPr/>
      <dgm:t>
        <a:bodyPr/>
        <a:lstStyle/>
        <a:p>
          <a:endParaRPr lang="en-US"/>
        </a:p>
      </dgm:t>
    </dgm:pt>
    <dgm:pt modelId="{B500A5EA-FBA7-4FF3-BDF9-A3CEFD7EF7AB}" type="pres">
      <dgm:prSet presAssocID="{DFCA19DB-9519-4889-9271-1DAA82C6BA16}" presName="connTx" presStyleLbl="parChTrans1D3" presStyleIdx="4" presStyleCnt="5"/>
      <dgm:spPr/>
      <dgm:t>
        <a:bodyPr/>
        <a:lstStyle/>
        <a:p>
          <a:endParaRPr lang="en-US"/>
        </a:p>
      </dgm:t>
    </dgm:pt>
    <dgm:pt modelId="{9CAAD2E9-1915-4D2F-85F7-A3F4E63E06FD}" type="pres">
      <dgm:prSet presAssocID="{36FC183A-2DA2-4247-97A3-5CB5C1B03146}" presName="root2" presStyleCnt="0"/>
      <dgm:spPr/>
    </dgm:pt>
    <dgm:pt modelId="{B7403666-E9AA-49C6-8B6C-62C5050FCE29}" type="pres">
      <dgm:prSet presAssocID="{36FC183A-2DA2-4247-97A3-5CB5C1B03146}" presName="LevelTwoTextNode" presStyleLbl="node3" presStyleIdx="4" presStyleCnt="5">
        <dgm:presLayoutVars>
          <dgm:chPref val="3"/>
        </dgm:presLayoutVars>
      </dgm:prSet>
      <dgm:spPr/>
      <dgm:t>
        <a:bodyPr/>
        <a:lstStyle/>
        <a:p>
          <a:endParaRPr lang="en-US"/>
        </a:p>
      </dgm:t>
    </dgm:pt>
    <dgm:pt modelId="{DC696684-A410-42D8-8BF1-59609F400702}" type="pres">
      <dgm:prSet presAssocID="{36FC183A-2DA2-4247-97A3-5CB5C1B03146}" presName="level3hierChild" presStyleCnt="0"/>
      <dgm:spPr/>
    </dgm:pt>
  </dgm:ptLst>
  <dgm:cxnLst>
    <dgm:cxn modelId="{B425D52F-AD54-49D2-93B9-B30A42E612DE}" type="presOf" srcId="{40B5BFF8-8E98-40AF-82B3-180F206B410C}" destId="{67EC1CAC-55FB-48D9-9ACF-A1486CF18420}" srcOrd="1" destOrd="0" presId="urn:microsoft.com/office/officeart/2005/8/layout/hierarchy2"/>
    <dgm:cxn modelId="{5C11DEB2-E96B-4668-968A-01D576269680}" type="presOf" srcId="{40B5BFF8-8E98-40AF-82B3-180F206B410C}" destId="{33433A0C-9F81-42E0-A9CD-0EC6D9D8992D}" srcOrd="0" destOrd="0" presId="urn:microsoft.com/office/officeart/2005/8/layout/hierarchy2"/>
    <dgm:cxn modelId="{B07F02BE-2C5F-4A1D-AFEC-9C250C15FC79}" srcId="{75CA8EAF-956A-4578-81CC-DF01350FCAFD}" destId="{36FC183A-2DA2-4247-97A3-5CB5C1B03146}" srcOrd="1" destOrd="0" parTransId="{DFCA19DB-9519-4889-9271-1DAA82C6BA16}" sibTransId="{E5D6EA80-E3F0-4F3E-88F8-570A5E723C35}"/>
    <dgm:cxn modelId="{F37587A1-4D21-4838-ADC3-85E61F893AFC}" srcId="{5C036CCA-301C-4815-A888-0D9944FCA17F}" destId="{45FD5CBE-6FB3-4856-819E-143A98D060C1}" srcOrd="0" destOrd="0" parTransId="{80F10EDD-C303-4834-8491-23AC98664143}" sibTransId="{60F0E298-2B2E-4577-BAAC-76F9EF0E1ABB}"/>
    <dgm:cxn modelId="{9B1478B8-5154-470C-A10B-1CFD102ABE11}" type="presOf" srcId="{80F10EDD-C303-4834-8491-23AC98664143}" destId="{9712D045-485B-412D-8C2A-FDD00972406C}" srcOrd="0" destOrd="0" presId="urn:microsoft.com/office/officeart/2005/8/layout/hierarchy2"/>
    <dgm:cxn modelId="{B72DB837-EBA0-4B71-8D67-9C724CC1995B}" srcId="{5C036CCA-301C-4815-A888-0D9944FCA17F}" destId="{478F809F-668D-430F-8983-4604B0AF95D9}" srcOrd="1" destOrd="0" parTransId="{E4854739-4C46-48EA-9C7B-734547B5E1E4}" sibTransId="{C83D3376-47C3-4FEC-8FBF-994E718E4462}"/>
    <dgm:cxn modelId="{07BF788A-D60B-4F66-8C78-5534FD156BD5}" type="presOf" srcId="{8A314041-4015-4D5F-A223-A76CE3C5A629}" destId="{C52AE039-28A8-47D3-84C2-A38D036F3306}" srcOrd="1" destOrd="0" presId="urn:microsoft.com/office/officeart/2005/8/layout/hierarchy2"/>
    <dgm:cxn modelId="{D3FBF225-9822-47C3-91DD-F3D8CB75F46C}" srcId="{DF4824EB-8033-4642-A2FF-4410F8A41D44}" destId="{5C036CCA-301C-4815-A888-0D9944FCA17F}" srcOrd="1" destOrd="0" parTransId="{40B5BFF8-8E98-40AF-82B3-180F206B410C}" sibTransId="{1AEB31BC-15A8-4976-9631-BB2AA8DA40E4}"/>
    <dgm:cxn modelId="{3106F7F7-5667-44A9-8723-63519B35B198}" type="presOf" srcId="{DFCA19DB-9519-4889-9271-1DAA82C6BA16}" destId="{B500A5EA-FBA7-4FF3-BDF9-A3CEFD7EF7AB}" srcOrd="1" destOrd="0" presId="urn:microsoft.com/office/officeart/2005/8/layout/hierarchy2"/>
    <dgm:cxn modelId="{2CD084E0-59F9-4EC4-AC0B-2ABFE92CF4AD}" type="presOf" srcId="{5C036CCA-301C-4815-A888-0D9944FCA17F}" destId="{4A1E7985-8D28-4699-BDB8-362EFFF76A06}" srcOrd="0" destOrd="0" presId="urn:microsoft.com/office/officeart/2005/8/layout/hierarchy2"/>
    <dgm:cxn modelId="{958826A5-9E21-40EC-98F4-A8F1A7190CAC}" srcId="{C86743C6-04C4-4DCA-BAE6-65547E9C26FF}" destId="{DF4824EB-8033-4642-A2FF-4410F8A41D44}" srcOrd="0" destOrd="0" parTransId="{761B1047-79A9-4CA2-B721-596B45611005}" sibTransId="{13C4653F-42E3-406A-8820-6CC099DDEC32}"/>
    <dgm:cxn modelId="{C6B7E469-D381-40FE-9216-C098F7E13D9D}" type="presOf" srcId="{6B035754-9175-4B58-B382-4E1C2077EB17}" destId="{645A00F8-C5B0-4F95-8666-98FB495B5729}" srcOrd="1" destOrd="0" presId="urn:microsoft.com/office/officeart/2005/8/layout/hierarchy2"/>
    <dgm:cxn modelId="{E78F1B6C-44C9-40DD-8C02-30B2F80CB135}" type="presOf" srcId="{EA137CD0-3506-42DF-B0BB-C21BF2F6AD22}" destId="{B5F60F7F-8AA8-4AEC-94F3-99FA61B9724A}" srcOrd="0" destOrd="0" presId="urn:microsoft.com/office/officeart/2005/8/layout/hierarchy2"/>
    <dgm:cxn modelId="{D79EE56F-27A0-47B0-8DD3-8738C2C307F5}" srcId="{75CA8EAF-956A-4578-81CC-DF01350FCAFD}" destId="{EA137CD0-3506-42DF-B0BB-C21BF2F6AD22}" srcOrd="0" destOrd="0" parTransId="{6B035754-9175-4B58-B382-4E1C2077EB17}" sibTransId="{DCE4C5E1-7EF6-4240-A4A8-9A0FAE1A3192}"/>
    <dgm:cxn modelId="{382DF09B-6E49-4FF7-94AE-DC4FDA9CD4EE}" type="presOf" srcId="{DF4824EB-8033-4642-A2FF-4410F8A41D44}" destId="{A461B47D-DC7D-4A7F-A6B1-2EA292A1D4EB}" srcOrd="0" destOrd="0" presId="urn:microsoft.com/office/officeart/2005/8/layout/hierarchy2"/>
    <dgm:cxn modelId="{3C954FF9-98F9-4A41-827A-39BB3B46A8D4}" type="presOf" srcId="{C86743C6-04C4-4DCA-BAE6-65547E9C26FF}" destId="{414DED05-95C0-4280-904A-1CC7F4A6ED54}" srcOrd="0" destOrd="0" presId="urn:microsoft.com/office/officeart/2005/8/layout/hierarchy2"/>
    <dgm:cxn modelId="{0A6BB760-0728-4C86-A6B2-9512F97EB58C}" type="presOf" srcId="{939D1B47-1DBC-498D-8272-166FE90279F9}" destId="{75DC297A-71EC-4FFC-8D12-228B6E4D95AA}" srcOrd="0" destOrd="0" presId="urn:microsoft.com/office/officeart/2005/8/layout/hierarchy2"/>
    <dgm:cxn modelId="{983FCA94-1562-4813-9D21-B2369950A8EF}" srcId="{DF4824EB-8033-4642-A2FF-4410F8A41D44}" destId="{75CA8EAF-956A-4578-81CC-DF01350FCAFD}" srcOrd="2" destOrd="0" parTransId="{939D1B47-1DBC-498D-8272-166FE90279F9}" sibTransId="{4B0DE0CA-F5B3-4E15-B069-4FD611C8E899}"/>
    <dgm:cxn modelId="{5E93B547-C14D-427B-A199-FDDE311A7682}" type="presOf" srcId="{478F809F-668D-430F-8983-4604B0AF95D9}" destId="{0ABA3002-CE65-4406-A0A1-A67B8BA0B106}" srcOrd="0" destOrd="0" presId="urn:microsoft.com/office/officeart/2005/8/layout/hierarchy2"/>
    <dgm:cxn modelId="{F8DFF92D-DDBC-4AD4-A2BE-8D2701C77832}" srcId="{DF4824EB-8033-4642-A2FF-4410F8A41D44}" destId="{8ECCBD7F-1437-4810-A1E1-7D61505BBD09}" srcOrd="0" destOrd="0" parTransId="{3B717BB6-E763-47F2-AD82-92BC4428F6E6}" sibTransId="{4577D670-7546-4D7F-AB7D-03AD7F655FFF}"/>
    <dgm:cxn modelId="{CB42093B-98C9-44D4-B598-F01C9EB151F6}" type="presOf" srcId="{E4854739-4C46-48EA-9C7B-734547B5E1E4}" destId="{0E01691F-940B-490B-B672-AD6C1CD17BD1}" srcOrd="0" destOrd="0" presId="urn:microsoft.com/office/officeart/2005/8/layout/hierarchy2"/>
    <dgm:cxn modelId="{8CB197FF-C9C0-4009-87D5-D15026C36670}" type="presOf" srcId="{36FC183A-2DA2-4247-97A3-5CB5C1B03146}" destId="{B7403666-E9AA-49C6-8B6C-62C5050FCE29}" srcOrd="0" destOrd="0" presId="urn:microsoft.com/office/officeart/2005/8/layout/hierarchy2"/>
    <dgm:cxn modelId="{06FC02D2-6524-476B-BBA5-9B547243C7BB}" type="presOf" srcId="{DFCA19DB-9519-4889-9271-1DAA82C6BA16}" destId="{D51FEC16-336B-47BC-B162-C314961BAF22}" srcOrd="0" destOrd="0" presId="urn:microsoft.com/office/officeart/2005/8/layout/hierarchy2"/>
    <dgm:cxn modelId="{94C4786B-5DF6-4F29-80F5-F6EF3D1ABBF8}" srcId="{8ECCBD7F-1437-4810-A1E1-7D61505BBD09}" destId="{30EFEA92-1333-4517-9795-7891692A2094}" srcOrd="0" destOrd="0" parTransId="{8A314041-4015-4D5F-A223-A76CE3C5A629}" sibTransId="{1C95F6DE-0700-47B4-A8C7-8B6B90467EA0}"/>
    <dgm:cxn modelId="{7E00364D-9F88-44AD-8372-5203BAAF75F5}" type="presOf" srcId="{6B035754-9175-4B58-B382-4E1C2077EB17}" destId="{A9F51C56-1052-43FA-87E0-E3A3C5669D42}" srcOrd="0" destOrd="0" presId="urn:microsoft.com/office/officeart/2005/8/layout/hierarchy2"/>
    <dgm:cxn modelId="{F87A7687-9D7F-4C60-9C1B-6F9E864F657C}" type="presOf" srcId="{3B717BB6-E763-47F2-AD82-92BC4428F6E6}" destId="{983D512D-2029-4B54-9E54-88EB971F689B}" srcOrd="0" destOrd="0" presId="urn:microsoft.com/office/officeart/2005/8/layout/hierarchy2"/>
    <dgm:cxn modelId="{6010AC5D-7BA2-4E9E-9E93-8E3317E31A92}" type="presOf" srcId="{75CA8EAF-956A-4578-81CC-DF01350FCAFD}" destId="{DD038893-4D56-475E-8FD7-28EC5316C952}" srcOrd="0" destOrd="0" presId="urn:microsoft.com/office/officeart/2005/8/layout/hierarchy2"/>
    <dgm:cxn modelId="{EFB3E9A6-E292-4E12-AFD9-6DFCB1FBD567}" type="presOf" srcId="{3B717BB6-E763-47F2-AD82-92BC4428F6E6}" destId="{3B0D51CF-B26A-4F40-BD66-FDA5B88E07D7}" srcOrd="1" destOrd="0" presId="urn:microsoft.com/office/officeart/2005/8/layout/hierarchy2"/>
    <dgm:cxn modelId="{25DEE317-1FA8-4026-A2ED-AA51B80EBB35}" type="presOf" srcId="{8A314041-4015-4D5F-A223-A76CE3C5A629}" destId="{B4414C69-60A0-4AFA-93E7-CFC0BC405A24}" srcOrd="0" destOrd="0" presId="urn:microsoft.com/office/officeart/2005/8/layout/hierarchy2"/>
    <dgm:cxn modelId="{8E56E3BE-9E27-4403-AE69-2F8FB9E5E9FE}" type="presOf" srcId="{30EFEA92-1333-4517-9795-7891692A2094}" destId="{E4949F94-9EBE-43A7-83EB-F57CABF0A202}" srcOrd="0" destOrd="0" presId="urn:microsoft.com/office/officeart/2005/8/layout/hierarchy2"/>
    <dgm:cxn modelId="{09DFC32E-E3EC-4500-87A6-3FC6B2E74CE3}" type="presOf" srcId="{80F10EDD-C303-4834-8491-23AC98664143}" destId="{4A6C6C3C-B12D-433E-BBC6-0E87FFCCE8D7}" srcOrd="1" destOrd="0" presId="urn:microsoft.com/office/officeart/2005/8/layout/hierarchy2"/>
    <dgm:cxn modelId="{FB36C565-2908-4CDC-B22A-2FE80D2AEBAC}" type="presOf" srcId="{45FD5CBE-6FB3-4856-819E-143A98D060C1}" destId="{F53EF08B-FA84-4204-9572-EDB2C652A90A}" srcOrd="0" destOrd="0" presId="urn:microsoft.com/office/officeart/2005/8/layout/hierarchy2"/>
    <dgm:cxn modelId="{897AA81A-6441-41DA-91B1-D06A3BB7ECD6}" type="presOf" srcId="{939D1B47-1DBC-498D-8272-166FE90279F9}" destId="{35F6DCDA-A644-4AC4-938F-AF908D86092E}" srcOrd="1" destOrd="0" presId="urn:microsoft.com/office/officeart/2005/8/layout/hierarchy2"/>
    <dgm:cxn modelId="{95A5CE43-FD12-4C13-B576-67D94D4700F2}" type="presOf" srcId="{8ECCBD7F-1437-4810-A1E1-7D61505BBD09}" destId="{49EF6506-BCD0-4A32-B261-C71D5D3BED9C}" srcOrd="0" destOrd="0" presId="urn:microsoft.com/office/officeart/2005/8/layout/hierarchy2"/>
    <dgm:cxn modelId="{5FF8595B-3D5B-4873-A396-AAE7F0BA7A6D}" type="presOf" srcId="{E4854739-4C46-48EA-9C7B-734547B5E1E4}" destId="{7EB018F8-C77E-4013-9A46-F16897764191}" srcOrd="1" destOrd="0" presId="urn:microsoft.com/office/officeart/2005/8/layout/hierarchy2"/>
    <dgm:cxn modelId="{1DB09E72-89D2-461C-8EF7-DBCEC072B15C}" type="presParOf" srcId="{414DED05-95C0-4280-904A-1CC7F4A6ED54}" destId="{A49A4A4B-953C-467E-BDB3-446B46E08C4B}" srcOrd="0" destOrd="0" presId="urn:microsoft.com/office/officeart/2005/8/layout/hierarchy2"/>
    <dgm:cxn modelId="{223C3F7C-6C4D-4513-BC65-D107F8D09C2C}" type="presParOf" srcId="{A49A4A4B-953C-467E-BDB3-446B46E08C4B}" destId="{A461B47D-DC7D-4A7F-A6B1-2EA292A1D4EB}" srcOrd="0" destOrd="0" presId="urn:microsoft.com/office/officeart/2005/8/layout/hierarchy2"/>
    <dgm:cxn modelId="{535192B5-3BC4-4885-BBBF-C4E85970D261}" type="presParOf" srcId="{A49A4A4B-953C-467E-BDB3-446B46E08C4B}" destId="{0E31787F-9116-4A57-8CDF-0874240D6C79}" srcOrd="1" destOrd="0" presId="urn:microsoft.com/office/officeart/2005/8/layout/hierarchy2"/>
    <dgm:cxn modelId="{CC5282C3-2D56-4905-80E8-5F1EE77417E3}" type="presParOf" srcId="{0E31787F-9116-4A57-8CDF-0874240D6C79}" destId="{983D512D-2029-4B54-9E54-88EB971F689B}" srcOrd="0" destOrd="0" presId="urn:microsoft.com/office/officeart/2005/8/layout/hierarchy2"/>
    <dgm:cxn modelId="{55912F47-A705-466D-A724-A6461A36FB31}" type="presParOf" srcId="{983D512D-2029-4B54-9E54-88EB971F689B}" destId="{3B0D51CF-B26A-4F40-BD66-FDA5B88E07D7}" srcOrd="0" destOrd="0" presId="urn:microsoft.com/office/officeart/2005/8/layout/hierarchy2"/>
    <dgm:cxn modelId="{BD166AC6-CB76-4F83-B931-9AD183B24E85}" type="presParOf" srcId="{0E31787F-9116-4A57-8CDF-0874240D6C79}" destId="{9FE47BD4-EFAF-4DA8-AFF8-462C13EB46FE}" srcOrd="1" destOrd="0" presId="urn:microsoft.com/office/officeart/2005/8/layout/hierarchy2"/>
    <dgm:cxn modelId="{8094CBD4-AF14-4E8F-82AD-3B280ECD2B1C}" type="presParOf" srcId="{9FE47BD4-EFAF-4DA8-AFF8-462C13EB46FE}" destId="{49EF6506-BCD0-4A32-B261-C71D5D3BED9C}" srcOrd="0" destOrd="0" presId="urn:microsoft.com/office/officeart/2005/8/layout/hierarchy2"/>
    <dgm:cxn modelId="{89E8E04F-8C97-435D-9D99-9E6CB23A76EE}" type="presParOf" srcId="{9FE47BD4-EFAF-4DA8-AFF8-462C13EB46FE}" destId="{8CEA4F53-5E06-462C-8DD0-3D188F58DFC6}" srcOrd="1" destOrd="0" presId="urn:microsoft.com/office/officeart/2005/8/layout/hierarchy2"/>
    <dgm:cxn modelId="{E7BBC9F6-77AA-4DE0-9B42-0CECF808DF66}" type="presParOf" srcId="{8CEA4F53-5E06-462C-8DD0-3D188F58DFC6}" destId="{B4414C69-60A0-4AFA-93E7-CFC0BC405A24}" srcOrd="0" destOrd="0" presId="urn:microsoft.com/office/officeart/2005/8/layout/hierarchy2"/>
    <dgm:cxn modelId="{99906C96-8203-4E42-98D7-17A9FC36C8AD}" type="presParOf" srcId="{B4414C69-60A0-4AFA-93E7-CFC0BC405A24}" destId="{C52AE039-28A8-47D3-84C2-A38D036F3306}" srcOrd="0" destOrd="0" presId="urn:microsoft.com/office/officeart/2005/8/layout/hierarchy2"/>
    <dgm:cxn modelId="{319027C0-788D-4E05-A6B2-FAF573BEF29E}" type="presParOf" srcId="{8CEA4F53-5E06-462C-8DD0-3D188F58DFC6}" destId="{7D1D5FB1-CFF9-4152-A734-709652F8C828}" srcOrd="1" destOrd="0" presId="urn:microsoft.com/office/officeart/2005/8/layout/hierarchy2"/>
    <dgm:cxn modelId="{807E1B26-7E37-41E8-8D06-E74010B7F057}" type="presParOf" srcId="{7D1D5FB1-CFF9-4152-A734-709652F8C828}" destId="{E4949F94-9EBE-43A7-83EB-F57CABF0A202}" srcOrd="0" destOrd="0" presId="urn:microsoft.com/office/officeart/2005/8/layout/hierarchy2"/>
    <dgm:cxn modelId="{915AAD4D-1187-41B7-80E3-F5A66633B7DB}" type="presParOf" srcId="{7D1D5FB1-CFF9-4152-A734-709652F8C828}" destId="{26D0F3D0-C5E9-4474-84F8-B2D15DCDE729}" srcOrd="1" destOrd="0" presId="urn:microsoft.com/office/officeart/2005/8/layout/hierarchy2"/>
    <dgm:cxn modelId="{77363AAA-6CF6-46CB-A573-45300B9FEF06}" type="presParOf" srcId="{0E31787F-9116-4A57-8CDF-0874240D6C79}" destId="{33433A0C-9F81-42E0-A9CD-0EC6D9D8992D}" srcOrd="2" destOrd="0" presId="urn:microsoft.com/office/officeart/2005/8/layout/hierarchy2"/>
    <dgm:cxn modelId="{76B4A77E-0783-47CA-BD6B-CA0BE976F8BF}" type="presParOf" srcId="{33433A0C-9F81-42E0-A9CD-0EC6D9D8992D}" destId="{67EC1CAC-55FB-48D9-9ACF-A1486CF18420}" srcOrd="0" destOrd="0" presId="urn:microsoft.com/office/officeart/2005/8/layout/hierarchy2"/>
    <dgm:cxn modelId="{FB00136E-CF70-486A-AE4E-89E379F153A7}" type="presParOf" srcId="{0E31787F-9116-4A57-8CDF-0874240D6C79}" destId="{AB30720A-08A8-4AD7-BF05-C08C3AC2AD04}" srcOrd="3" destOrd="0" presId="urn:microsoft.com/office/officeart/2005/8/layout/hierarchy2"/>
    <dgm:cxn modelId="{F218E011-D482-419E-B459-9842EAC71D90}" type="presParOf" srcId="{AB30720A-08A8-4AD7-BF05-C08C3AC2AD04}" destId="{4A1E7985-8D28-4699-BDB8-362EFFF76A06}" srcOrd="0" destOrd="0" presId="urn:microsoft.com/office/officeart/2005/8/layout/hierarchy2"/>
    <dgm:cxn modelId="{05431B02-47C0-4F37-8957-445CED0ACA07}" type="presParOf" srcId="{AB30720A-08A8-4AD7-BF05-C08C3AC2AD04}" destId="{2EA04FE9-FE78-46DC-B55E-87E6881A6520}" srcOrd="1" destOrd="0" presId="urn:microsoft.com/office/officeart/2005/8/layout/hierarchy2"/>
    <dgm:cxn modelId="{361D8EB7-B83D-42B7-8611-F7EDD4270982}" type="presParOf" srcId="{2EA04FE9-FE78-46DC-B55E-87E6881A6520}" destId="{9712D045-485B-412D-8C2A-FDD00972406C}" srcOrd="0" destOrd="0" presId="urn:microsoft.com/office/officeart/2005/8/layout/hierarchy2"/>
    <dgm:cxn modelId="{854748F3-A6DE-42DC-AE8F-AB27DB88D6F1}" type="presParOf" srcId="{9712D045-485B-412D-8C2A-FDD00972406C}" destId="{4A6C6C3C-B12D-433E-BBC6-0E87FFCCE8D7}" srcOrd="0" destOrd="0" presId="urn:microsoft.com/office/officeart/2005/8/layout/hierarchy2"/>
    <dgm:cxn modelId="{F8CB335F-BBC3-4E80-9A9A-387216FEB72C}" type="presParOf" srcId="{2EA04FE9-FE78-46DC-B55E-87E6881A6520}" destId="{25EC2657-B763-4400-AB3D-2518FEC808B2}" srcOrd="1" destOrd="0" presId="urn:microsoft.com/office/officeart/2005/8/layout/hierarchy2"/>
    <dgm:cxn modelId="{F3D65319-03E5-4AE4-9B12-FCC3AB2A359B}" type="presParOf" srcId="{25EC2657-B763-4400-AB3D-2518FEC808B2}" destId="{F53EF08B-FA84-4204-9572-EDB2C652A90A}" srcOrd="0" destOrd="0" presId="urn:microsoft.com/office/officeart/2005/8/layout/hierarchy2"/>
    <dgm:cxn modelId="{D720BA02-F2F8-4EF7-AA18-82B4D441A801}" type="presParOf" srcId="{25EC2657-B763-4400-AB3D-2518FEC808B2}" destId="{D0685DF4-CBA8-4D72-9EBF-BA5A506A3449}" srcOrd="1" destOrd="0" presId="urn:microsoft.com/office/officeart/2005/8/layout/hierarchy2"/>
    <dgm:cxn modelId="{51B03729-9736-43B5-A9E7-400DA10335CE}" type="presParOf" srcId="{2EA04FE9-FE78-46DC-B55E-87E6881A6520}" destId="{0E01691F-940B-490B-B672-AD6C1CD17BD1}" srcOrd="2" destOrd="0" presId="urn:microsoft.com/office/officeart/2005/8/layout/hierarchy2"/>
    <dgm:cxn modelId="{D809E9F8-0B2F-476D-9E71-24328DEBB47D}" type="presParOf" srcId="{0E01691F-940B-490B-B672-AD6C1CD17BD1}" destId="{7EB018F8-C77E-4013-9A46-F16897764191}" srcOrd="0" destOrd="0" presId="urn:microsoft.com/office/officeart/2005/8/layout/hierarchy2"/>
    <dgm:cxn modelId="{BC83B947-DEFC-40F7-8A92-54E84DEB5586}" type="presParOf" srcId="{2EA04FE9-FE78-46DC-B55E-87E6881A6520}" destId="{46B2EDB6-CD4C-4C3E-81CF-470EF8FBDDA4}" srcOrd="3" destOrd="0" presId="urn:microsoft.com/office/officeart/2005/8/layout/hierarchy2"/>
    <dgm:cxn modelId="{82435A52-E507-49A4-BED1-80E33217C7DD}" type="presParOf" srcId="{46B2EDB6-CD4C-4C3E-81CF-470EF8FBDDA4}" destId="{0ABA3002-CE65-4406-A0A1-A67B8BA0B106}" srcOrd="0" destOrd="0" presId="urn:microsoft.com/office/officeart/2005/8/layout/hierarchy2"/>
    <dgm:cxn modelId="{F6328C77-B755-4D3C-8F4D-FD19A81CD471}" type="presParOf" srcId="{46B2EDB6-CD4C-4C3E-81CF-470EF8FBDDA4}" destId="{94918A1C-F0F3-4257-82CD-20551602A5AD}" srcOrd="1" destOrd="0" presId="urn:microsoft.com/office/officeart/2005/8/layout/hierarchy2"/>
    <dgm:cxn modelId="{D7F53037-8E8E-48C9-8DDF-B2EF9BA5EA77}" type="presParOf" srcId="{0E31787F-9116-4A57-8CDF-0874240D6C79}" destId="{75DC297A-71EC-4FFC-8D12-228B6E4D95AA}" srcOrd="4" destOrd="0" presId="urn:microsoft.com/office/officeart/2005/8/layout/hierarchy2"/>
    <dgm:cxn modelId="{D8A4F761-0382-4E0F-9843-F3B23AFB7908}" type="presParOf" srcId="{75DC297A-71EC-4FFC-8D12-228B6E4D95AA}" destId="{35F6DCDA-A644-4AC4-938F-AF908D86092E}" srcOrd="0" destOrd="0" presId="urn:microsoft.com/office/officeart/2005/8/layout/hierarchy2"/>
    <dgm:cxn modelId="{EFC81E23-7E13-4446-84FF-97037A67F388}" type="presParOf" srcId="{0E31787F-9116-4A57-8CDF-0874240D6C79}" destId="{3384E9B1-662A-4DD3-B332-1A34AAF48D66}" srcOrd="5" destOrd="0" presId="urn:microsoft.com/office/officeart/2005/8/layout/hierarchy2"/>
    <dgm:cxn modelId="{5D08386A-C0F3-4D12-AFC4-436552F778CC}" type="presParOf" srcId="{3384E9B1-662A-4DD3-B332-1A34AAF48D66}" destId="{DD038893-4D56-475E-8FD7-28EC5316C952}" srcOrd="0" destOrd="0" presId="urn:microsoft.com/office/officeart/2005/8/layout/hierarchy2"/>
    <dgm:cxn modelId="{F52F11D1-926C-479D-8823-D852D158F2A3}" type="presParOf" srcId="{3384E9B1-662A-4DD3-B332-1A34AAF48D66}" destId="{9D16592D-F347-4176-B07E-34854A5F25C7}" srcOrd="1" destOrd="0" presId="urn:microsoft.com/office/officeart/2005/8/layout/hierarchy2"/>
    <dgm:cxn modelId="{9FBA015D-E288-4D21-9702-3B59C3F15B50}" type="presParOf" srcId="{9D16592D-F347-4176-B07E-34854A5F25C7}" destId="{A9F51C56-1052-43FA-87E0-E3A3C5669D42}" srcOrd="0" destOrd="0" presId="urn:microsoft.com/office/officeart/2005/8/layout/hierarchy2"/>
    <dgm:cxn modelId="{AD01130A-D67B-4F5D-AF3B-32B45FBEAACB}" type="presParOf" srcId="{A9F51C56-1052-43FA-87E0-E3A3C5669D42}" destId="{645A00F8-C5B0-4F95-8666-98FB495B5729}" srcOrd="0" destOrd="0" presId="urn:microsoft.com/office/officeart/2005/8/layout/hierarchy2"/>
    <dgm:cxn modelId="{709DA5D0-6478-4FC5-A9B4-48782D958CF9}" type="presParOf" srcId="{9D16592D-F347-4176-B07E-34854A5F25C7}" destId="{887206B7-2C6D-4C83-AC67-A49025BA1934}" srcOrd="1" destOrd="0" presId="urn:microsoft.com/office/officeart/2005/8/layout/hierarchy2"/>
    <dgm:cxn modelId="{A51BC6BC-5692-4212-B398-60C5B2A6B80B}" type="presParOf" srcId="{887206B7-2C6D-4C83-AC67-A49025BA1934}" destId="{B5F60F7F-8AA8-4AEC-94F3-99FA61B9724A}" srcOrd="0" destOrd="0" presId="urn:microsoft.com/office/officeart/2005/8/layout/hierarchy2"/>
    <dgm:cxn modelId="{8B7F7B15-267A-49D5-A2C7-9F65C82E2666}" type="presParOf" srcId="{887206B7-2C6D-4C83-AC67-A49025BA1934}" destId="{FC0151BB-9C78-4B4B-8554-115F909BA4F0}" srcOrd="1" destOrd="0" presId="urn:microsoft.com/office/officeart/2005/8/layout/hierarchy2"/>
    <dgm:cxn modelId="{EA6F1AF8-9935-47F6-88A2-D815A550BE67}" type="presParOf" srcId="{9D16592D-F347-4176-B07E-34854A5F25C7}" destId="{D51FEC16-336B-47BC-B162-C314961BAF22}" srcOrd="2" destOrd="0" presId="urn:microsoft.com/office/officeart/2005/8/layout/hierarchy2"/>
    <dgm:cxn modelId="{8B042747-0F4A-4A3D-B038-F8F719F767C3}" type="presParOf" srcId="{D51FEC16-336B-47BC-B162-C314961BAF22}" destId="{B500A5EA-FBA7-4FF3-BDF9-A3CEFD7EF7AB}" srcOrd="0" destOrd="0" presId="urn:microsoft.com/office/officeart/2005/8/layout/hierarchy2"/>
    <dgm:cxn modelId="{114C69DC-4F7A-4CE6-AB81-5723BC594A00}" type="presParOf" srcId="{9D16592D-F347-4176-B07E-34854A5F25C7}" destId="{9CAAD2E9-1915-4D2F-85F7-A3F4E63E06FD}" srcOrd="3" destOrd="0" presId="urn:microsoft.com/office/officeart/2005/8/layout/hierarchy2"/>
    <dgm:cxn modelId="{4DD2A598-8DD3-42A1-8897-815080FAAF1E}" type="presParOf" srcId="{9CAAD2E9-1915-4D2F-85F7-A3F4E63E06FD}" destId="{B7403666-E9AA-49C6-8B6C-62C5050FCE29}" srcOrd="0" destOrd="0" presId="urn:microsoft.com/office/officeart/2005/8/layout/hierarchy2"/>
    <dgm:cxn modelId="{79ED1B18-807D-45F3-9AAE-48C08A2648EC}" type="presParOf" srcId="{9CAAD2E9-1915-4D2F-85F7-A3F4E63E06FD}" destId="{DC696684-A410-42D8-8BF1-59609F400702}" srcOrd="1" destOrd="0" presId="urn:microsoft.com/office/officeart/2005/8/layout/hierarchy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D9DD6D-20A1-4C00-B4CA-5C4013D05CB7}"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n-US"/>
        </a:p>
      </dgm:t>
    </dgm:pt>
    <dgm:pt modelId="{FF4ADED1-A0C9-4FC4-B179-CC437E37DCF2}">
      <dgm:prSet phldrT="[Text]" custT="1"/>
      <dgm:spPr>
        <a:xfrm>
          <a:off x="0" y="1381"/>
          <a:ext cx="1652778" cy="91166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2400" b="1">
              <a:solidFill>
                <a:sysClr val="window" lastClr="FFFFFF"/>
              </a:solidFill>
              <a:latin typeface="Calibri"/>
              <a:ea typeface="+mn-ea"/>
              <a:cs typeface="+mn-cs"/>
            </a:rPr>
            <a:t>Trend</a:t>
          </a:r>
        </a:p>
      </dgm:t>
    </dgm:pt>
    <dgm:pt modelId="{36400ABD-E988-4C5B-8696-9AB426208708}" type="parTrans" cxnId="{7786FBD0-AD58-4E7B-8DC6-D7DF7605015A}">
      <dgm:prSet/>
      <dgm:spPr/>
      <dgm:t>
        <a:bodyPr/>
        <a:lstStyle/>
        <a:p>
          <a:pPr algn="l"/>
          <a:endParaRPr lang="en-US"/>
        </a:p>
      </dgm:t>
    </dgm:pt>
    <dgm:pt modelId="{5448B5CF-CA7A-4B28-9A1D-4E4C2FE2C10F}" type="sibTrans" cxnId="{7786FBD0-AD58-4E7B-8DC6-D7DF7605015A}">
      <dgm:prSet/>
      <dgm:spPr/>
      <dgm:t>
        <a:bodyPr/>
        <a:lstStyle/>
        <a:p>
          <a:pPr algn="l"/>
          <a:endParaRPr lang="en-US"/>
        </a:p>
      </dgm:t>
    </dgm:pt>
    <dgm:pt modelId="{6DFBF426-1695-48A1-9F8A-CF0938C10761}">
      <dgm:prSet phldrT="[Text]" custT="1"/>
      <dgm:spPr>
        <a:xfrm rot="5400000">
          <a:off x="2757247" y="-1011922"/>
          <a:ext cx="729332" cy="2938272"/>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pPr algn="l"/>
          <a:r>
            <a:rPr lang="en-US" sz="1000">
              <a:solidFill>
                <a:sysClr val="windowText" lastClr="000000">
                  <a:hueOff val="0"/>
                  <a:satOff val="0"/>
                  <a:lumOff val="0"/>
                  <a:alphaOff val="0"/>
                </a:sysClr>
              </a:solidFill>
              <a:latin typeface="Calibri"/>
              <a:ea typeface="+mn-ea"/>
              <a:cs typeface="+mn-cs"/>
            </a:rPr>
            <a:t> Growth and profile of revenue, expenditure and regional funding </a:t>
          </a:r>
        </a:p>
      </dgm:t>
    </dgm:pt>
    <dgm:pt modelId="{100B0AEF-AFF9-430B-8BE5-2665C6CB71E6}" type="parTrans" cxnId="{912E88F3-98FE-43E5-968B-7C2F99905342}">
      <dgm:prSet/>
      <dgm:spPr/>
      <dgm:t>
        <a:bodyPr/>
        <a:lstStyle/>
        <a:p>
          <a:pPr algn="l"/>
          <a:endParaRPr lang="en-US"/>
        </a:p>
      </dgm:t>
    </dgm:pt>
    <dgm:pt modelId="{56B611E0-21B1-4DC3-B461-6E6F6A6A7EB9}" type="sibTrans" cxnId="{912E88F3-98FE-43E5-968B-7C2F99905342}">
      <dgm:prSet/>
      <dgm:spPr/>
      <dgm:t>
        <a:bodyPr/>
        <a:lstStyle/>
        <a:p>
          <a:pPr algn="l"/>
          <a:endParaRPr lang="en-US"/>
        </a:p>
      </dgm:t>
    </dgm:pt>
    <dgm:pt modelId="{25F0432F-7795-4195-BE30-4FBA99B206FF}">
      <dgm:prSet phldrT="[Text]" custT="1"/>
      <dgm:spPr>
        <a:xfrm rot="5400000">
          <a:off x="2757247" y="-1011922"/>
          <a:ext cx="729332" cy="2938272"/>
        </a:xfr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gm:spPr>
      <dgm:t>
        <a:bodyPr/>
        <a:lstStyle/>
        <a:p>
          <a:pPr algn="l"/>
          <a:r>
            <a:rPr lang="en-US" sz="1000">
              <a:solidFill>
                <a:sysClr val="windowText" lastClr="000000">
                  <a:hueOff val="0"/>
                  <a:satOff val="0"/>
                  <a:lumOff val="0"/>
                  <a:alphaOff val="0"/>
                </a:sysClr>
              </a:solidFill>
              <a:latin typeface="Calibri"/>
              <a:ea typeface="+mn-ea"/>
              <a:cs typeface="+mn-cs"/>
            </a:rPr>
            <a:t> Development of expenditure on land and forest governance affairs </a:t>
          </a:r>
        </a:p>
      </dgm:t>
    </dgm:pt>
    <dgm:pt modelId="{BCA3919A-A813-4C1B-ABEE-F3367DBAD516}" type="parTrans" cxnId="{F3EE63C9-CEFD-4846-AEFD-1AA4273D2930}">
      <dgm:prSet/>
      <dgm:spPr/>
      <dgm:t>
        <a:bodyPr/>
        <a:lstStyle/>
        <a:p>
          <a:pPr algn="l"/>
          <a:endParaRPr lang="en-US"/>
        </a:p>
      </dgm:t>
    </dgm:pt>
    <dgm:pt modelId="{A85C4E12-0323-4C7A-879A-C0FD15515520}" type="sibTrans" cxnId="{F3EE63C9-CEFD-4846-AEFD-1AA4273D2930}">
      <dgm:prSet/>
      <dgm:spPr/>
      <dgm:t>
        <a:bodyPr/>
        <a:lstStyle/>
        <a:p>
          <a:pPr algn="l"/>
          <a:endParaRPr lang="en-US"/>
        </a:p>
      </dgm:t>
    </dgm:pt>
    <dgm:pt modelId="{D2C287C8-1AA5-448B-A58A-1109FB34846B}">
      <dgm:prSet phldrT="[Text]" custT="1"/>
      <dgm:spPr>
        <a:xfrm>
          <a:off x="0" y="958629"/>
          <a:ext cx="1652778" cy="911665"/>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2400" b="1">
              <a:solidFill>
                <a:sysClr val="window" lastClr="FFFFFF"/>
              </a:solidFill>
              <a:latin typeface="Calibri"/>
              <a:ea typeface="+mn-ea"/>
              <a:cs typeface="+mn-cs"/>
            </a:rPr>
            <a:t>Proportion</a:t>
          </a:r>
        </a:p>
      </dgm:t>
    </dgm:pt>
    <dgm:pt modelId="{85B15E57-C24E-4F51-94F9-5325E614AC96}" type="parTrans" cxnId="{20BB65C5-9374-403F-90E0-7A501555801C}">
      <dgm:prSet/>
      <dgm:spPr/>
      <dgm:t>
        <a:bodyPr/>
        <a:lstStyle/>
        <a:p>
          <a:pPr algn="l"/>
          <a:endParaRPr lang="en-US"/>
        </a:p>
      </dgm:t>
    </dgm:pt>
    <dgm:pt modelId="{C26D2569-844A-4D89-A218-20D45BEC167D}" type="sibTrans" cxnId="{20BB65C5-9374-403F-90E0-7A501555801C}">
      <dgm:prSet/>
      <dgm:spPr/>
      <dgm:t>
        <a:bodyPr/>
        <a:lstStyle/>
        <a:p>
          <a:pPr algn="l"/>
          <a:endParaRPr lang="en-US"/>
        </a:p>
      </dgm:t>
    </dgm:pt>
    <dgm:pt modelId="{644A29F1-E36F-41DB-B7C5-39AD43D5EF64}">
      <dgm:prSet phldrT="[Text]" custT="1"/>
      <dgm:spPr>
        <a:xfrm rot="5400000">
          <a:off x="2757247" y="-54673"/>
          <a:ext cx="729332" cy="2938272"/>
        </a:xfr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gm:spPr>
      <dgm:t>
        <a:bodyPr/>
        <a:lstStyle/>
        <a:p>
          <a:pPr algn="l"/>
          <a:r>
            <a:rPr lang="en-US" sz="1000">
              <a:solidFill>
                <a:sysClr val="windowText" lastClr="000000">
                  <a:hueOff val="0"/>
                  <a:satOff val="0"/>
                  <a:lumOff val="0"/>
                  <a:alphaOff val="0"/>
                </a:sysClr>
              </a:solidFill>
              <a:latin typeface="Calibri"/>
              <a:ea typeface="+mn-ea"/>
              <a:cs typeface="+mn-cs"/>
            </a:rPr>
            <a:t> Relevance of budget policy to issues of land   and forest governance </a:t>
          </a:r>
        </a:p>
      </dgm:t>
    </dgm:pt>
    <dgm:pt modelId="{83534BA9-8E27-4EF7-831F-1A4D7309BA73}" type="parTrans" cxnId="{CF041EB4-0D94-41F3-AB17-B37A57B7E836}">
      <dgm:prSet/>
      <dgm:spPr/>
      <dgm:t>
        <a:bodyPr/>
        <a:lstStyle/>
        <a:p>
          <a:pPr algn="l"/>
          <a:endParaRPr lang="en-US"/>
        </a:p>
      </dgm:t>
    </dgm:pt>
    <dgm:pt modelId="{B27611BE-3A3D-4401-9972-DA0CC15F54A7}" type="sibTrans" cxnId="{CF041EB4-0D94-41F3-AB17-B37A57B7E836}">
      <dgm:prSet/>
      <dgm:spPr/>
      <dgm:t>
        <a:bodyPr/>
        <a:lstStyle/>
        <a:p>
          <a:pPr algn="l"/>
          <a:endParaRPr lang="en-US"/>
        </a:p>
      </dgm:t>
    </dgm:pt>
    <dgm:pt modelId="{F55A26EA-F6A0-429F-B579-8E0280DCA85E}">
      <dgm:prSet phldrT="[Text]" custT="1"/>
      <dgm:spPr>
        <a:xfrm rot="5400000">
          <a:off x="2757247" y="-54673"/>
          <a:ext cx="729332" cy="2938272"/>
        </a:xfr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gm:spPr>
      <dgm:t>
        <a:bodyPr/>
        <a:lstStyle/>
        <a:p>
          <a:pPr algn="l"/>
          <a:r>
            <a:rPr lang="en-US" sz="1000">
              <a:solidFill>
                <a:sysClr val="windowText" lastClr="000000">
                  <a:hueOff val="0"/>
                  <a:satOff val="0"/>
                  <a:lumOff val="0"/>
                  <a:alphaOff val="0"/>
                </a:sysClr>
              </a:solidFill>
              <a:latin typeface="Calibri"/>
              <a:ea typeface="+mn-ea"/>
              <a:cs typeface="+mn-cs"/>
            </a:rPr>
            <a:t> Direction of regional expenditure to land and forest governance </a:t>
          </a:r>
        </a:p>
      </dgm:t>
    </dgm:pt>
    <dgm:pt modelId="{FC050CBA-36C6-46B1-929C-82FE4C41C334}" type="parTrans" cxnId="{A37A8529-9DDF-4AD1-9A99-191B44FD606C}">
      <dgm:prSet/>
      <dgm:spPr/>
      <dgm:t>
        <a:bodyPr/>
        <a:lstStyle/>
        <a:p>
          <a:pPr algn="l"/>
          <a:endParaRPr lang="en-US"/>
        </a:p>
      </dgm:t>
    </dgm:pt>
    <dgm:pt modelId="{429D29C7-BBFA-438F-8A91-530472CCECE8}" type="sibTrans" cxnId="{A37A8529-9DDF-4AD1-9A99-191B44FD606C}">
      <dgm:prSet/>
      <dgm:spPr/>
      <dgm:t>
        <a:bodyPr/>
        <a:lstStyle/>
        <a:p>
          <a:pPr algn="l"/>
          <a:endParaRPr lang="en-US"/>
        </a:p>
      </dgm:t>
    </dgm:pt>
    <dgm:pt modelId="{7F553660-012F-49A9-ACB7-57C764B5DDE0}">
      <dgm:prSet phldrT="[Text]" custT="1"/>
      <dgm:spPr>
        <a:xfrm>
          <a:off x="0" y="1915878"/>
          <a:ext cx="1652778" cy="911665"/>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2400" b="1">
              <a:solidFill>
                <a:sysClr val="window" lastClr="FFFFFF"/>
              </a:solidFill>
              <a:latin typeface="Calibri"/>
              <a:ea typeface="+mn-ea"/>
              <a:cs typeface="+mn-cs"/>
            </a:rPr>
            <a:t>Correlation</a:t>
          </a:r>
        </a:p>
      </dgm:t>
    </dgm:pt>
    <dgm:pt modelId="{B3390C16-6AD5-4F28-8385-EEBF91EC4CE6}" type="parTrans" cxnId="{380BE508-F4FD-470B-9C82-D80ADDEB1471}">
      <dgm:prSet/>
      <dgm:spPr/>
      <dgm:t>
        <a:bodyPr/>
        <a:lstStyle/>
        <a:p>
          <a:pPr algn="l"/>
          <a:endParaRPr lang="en-US"/>
        </a:p>
      </dgm:t>
    </dgm:pt>
    <dgm:pt modelId="{EB4A4BE3-53A3-4F0F-9F3B-62D40626F7E7}" type="sibTrans" cxnId="{380BE508-F4FD-470B-9C82-D80ADDEB1471}">
      <dgm:prSet/>
      <dgm:spPr/>
      <dgm:t>
        <a:bodyPr/>
        <a:lstStyle/>
        <a:p>
          <a:pPr algn="l"/>
          <a:endParaRPr lang="en-US"/>
        </a:p>
      </dgm:t>
    </dgm:pt>
    <dgm:pt modelId="{2F8481B7-7D8D-4F6B-8719-DEAC1CB55B0D}">
      <dgm:prSet phldrT="[Text]" custT="1"/>
      <dgm:spPr>
        <a:xfrm rot="5400000">
          <a:off x="2757247" y="902575"/>
          <a:ext cx="729332" cy="2938272"/>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pPr algn="l"/>
          <a:r>
            <a:rPr lang="en-US" sz="1100">
              <a:solidFill>
                <a:sysClr val="windowText" lastClr="000000">
                  <a:hueOff val="0"/>
                  <a:satOff val="0"/>
                  <a:lumOff val="0"/>
                  <a:alphaOff val="0"/>
                </a:sysClr>
              </a:solidFill>
              <a:latin typeface="Calibri"/>
              <a:ea typeface="+mn-ea"/>
              <a:cs typeface="+mn-cs"/>
            </a:rPr>
            <a:t> </a:t>
          </a:r>
          <a:r>
            <a:rPr lang="en-US" sz="1000">
              <a:solidFill>
                <a:sysClr val="windowText" lastClr="000000">
                  <a:hueOff val="0"/>
                  <a:satOff val="0"/>
                  <a:lumOff val="0"/>
                  <a:alphaOff val="0"/>
                </a:sysClr>
              </a:solidFill>
              <a:latin typeface="Calibri"/>
              <a:ea typeface="+mn-ea"/>
              <a:cs typeface="+mn-cs"/>
            </a:rPr>
            <a:t>Relationship between budget policy, commitment and regional development target indicators </a:t>
          </a:r>
        </a:p>
      </dgm:t>
    </dgm:pt>
    <dgm:pt modelId="{DBA1B908-D428-4371-B065-D2ABF913BE24}" type="parTrans" cxnId="{A17B75B2-A424-4210-A30E-C279FBECA9F8}">
      <dgm:prSet/>
      <dgm:spPr/>
      <dgm:t>
        <a:bodyPr/>
        <a:lstStyle/>
        <a:p>
          <a:pPr algn="l"/>
          <a:endParaRPr lang="en-US"/>
        </a:p>
      </dgm:t>
    </dgm:pt>
    <dgm:pt modelId="{C565833C-5E2F-45F2-8402-D0756B09B448}" type="sibTrans" cxnId="{A17B75B2-A424-4210-A30E-C279FBECA9F8}">
      <dgm:prSet/>
      <dgm:spPr/>
      <dgm:t>
        <a:bodyPr/>
        <a:lstStyle/>
        <a:p>
          <a:pPr algn="l"/>
          <a:endParaRPr lang="en-US"/>
        </a:p>
      </dgm:t>
    </dgm:pt>
    <dgm:pt modelId="{65BB8638-0BD3-4952-B268-A2E24B080B09}">
      <dgm:prSet phldrT="[Text]" custT="1"/>
      <dgm:spPr>
        <a:xfrm rot="5400000">
          <a:off x="2757247" y="902575"/>
          <a:ext cx="729332" cy="2938272"/>
        </a:xfr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gm:spPr>
      <dgm:t>
        <a:bodyPr/>
        <a:lstStyle/>
        <a:p>
          <a:pPr algn="l"/>
          <a:r>
            <a:rPr lang="en-US" sz="1000">
              <a:solidFill>
                <a:sysClr val="windowText" lastClr="000000">
                  <a:hueOff val="0"/>
                  <a:satOff val="0"/>
                  <a:lumOff val="0"/>
                  <a:alphaOff val="0"/>
                </a:sysClr>
              </a:solidFill>
              <a:latin typeface="Calibri"/>
              <a:ea typeface="+mn-ea"/>
              <a:cs typeface="+mn-cs"/>
            </a:rPr>
            <a:t> Relationship between revenue, expenditure and funding</a:t>
          </a:r>
        </a:p>
      </dgm:t>
    </dgm:pt>
    <dgm:pt modelId="{C7C34685-0B2F-4661-AD73-424384CA472C}" type="parTrans" cxnId="{DCEF148C-637C-400A-93DD-81709C8BD1E1}">
      <dgm:prSet/>
      <dgm:spPr/>
      <dgm:t>
        <a:bodyPr/>
        <a:lstStyle/>
        <a:p>
          <a:pPr algn="l"/>
          <a:endParaRPr lang="en-US"/>
        </a:p>
      </dgm:t>
    </dgm:pt>
    <dgm:pt modelId="{93B21632-B96F-475D-9A38-326853727C22}" type="sibTrans" cxnId="{DCEF148C-637C-400A-93DD-81709C8BD1E1}">
      <dgm:prSet/>
      <dgm:spPr/>
      <dgm:t>
        <a:bodyPr/>
        <a:lstStyle/>
        <a:p>
          <a:pPr algn="l"/>
          <a:endParaRPr lang="en-US"/>
        </a:p>
      </dgm:t>
    </dgm:pt>
    <dgm:pt modelId="{F6D1D78A-16D8-4A81-98AF-09488F880D17}" type="pres">
      <dgm:prSet presAssocID="{67D9DD6D-20A1-4C00-B4CA-5C4013D05CB7}" presName="Name0" presStyleCnt="0">
        <dgm:presLayoutVars>
          <dgm:dir/>
          <dgm:animLvl val="lvl"/>
          <dgm:resizeHandles val="exact"/>
        </dgm:presLayoutVars>
      </dgm:prSet>
      <dgm:spPr/>
      <dgm:t>
        <a:bodyPr/>
        <a:lstStyle/>
        <a:p>
          <a:endParaRPr lang="en-US"/>
        </a:p>
      </dgm:t>
    </dgm:pt>
    <dgm:pt modelId="{6191ADB5-14EB-46F7-820E-B6AE3AE96AAA}" type="pres">
      <dgm:prSet presAssocID="{FF4ADED1-A0C9-4FC4-B179-CC437E37DCF2}" presName="linNode" presStyleCnt="0"/>
      <dgm:spPr/>
      <dgm:t>
        <a:bodyPr/>
        <a:lstStyle/>
        <a:p>
          <a:endParaRPr lang="en-US"/>
        </a:p>
      </dgm:t>
    </dgm:pt>
    <dgm:pt modelId="{29D73FAC-182F-4D9F-BE85-BFA0C29C69BB}" type="pres">
      <dgm:prSet presAssocID="{FF4ADED1-A0C9-4FC4-B179-CC437E37DCF2}" presName="parentText" presStyleLbl="node1" presStyleIdx="0" presStyleCnt="3" custScaleX="116608">
        <dgm:presLayoutVars>
          <dgm:chMax val="1"/>
          <dgm:bulletEnabled val="1"/>
        </dgm:presLayoutVars>
      </dgm:prSet>
      <dgm:spPr>
        <a:prstGeom prst="roundRect">
          <a:avLst/>
        </a:prstGeom>
      </dgm:spPr>
      <dgm:t>
        <a:bodyPr/>
        <a:lstStyle/>
        <a:p>
          <a:endParaRPr lang="en-US"/>
        </a:p>
      </dgm:t>
    </dgm:pt>
    <dgm:pt modelId="{56197B2E-4C53-44DE-88AF-488AA04A2E2A}" type="pres">
      <dgm:prSet presAssocID="{FF4ADED1-A0C9-4FC4-B179-CC437E37DCF2}" presName="descendantText" presStyleLbl="alignAccFollowNode1" presStyleIdx="0" presStyleCnt="3">
        <dgm:presLayoutVars>
          <dgm:bulletEnabled val="1"/>
        </dgm:presLayoutVars>
      </dgm:prSet>
      <dgm:spPr>
        <a:prstGeom prst="round2SameRect">
          <a:avLst/>
        </a:prstGeom>
      </dgm:spPr>
      <dgm:t>
        <a:bodyPr/>
        <a:lstStyle/>
        <a:p>
          <a:endParaRPr lang="en-US"/>
        </a:p>
      </dgm:t>
    </dgm:pt>
    <dgm:pt modelId="{F77116A6-84CC-4B78-A94B-2DFB7C8797A6}" type="pres">
      <dgm:prSet presAssocID="{5448B5CF-CA7A-4B28-9A1D-4E4C2FE2C10F}" presName="sp" presStyleCnt="0"/>
      <dgm:spPr/>
      <dgm:t>
        <a:bodyPr/>
        <a:lstStyle/>
        <a:p>
          <a:endParaRPr lang="en-US"/>
        </a:p>
      </dgm:t>
    </dgm:pt>
    <dgm:pt modelId="{5CB290C0-46C6-4919-92F1-57D2E4256ACE}" type="pres">
      <dgm:prSet presAssocID="{D2C287C8-1AA5-448B-A58A-1109FB34846B}" presName="linNode" presStyleCnt="0"/>
      <dgm:spPr/>
      <dgm:t>
        <a:bodyPr/>
        <a:lstStyle/>
        <a:p>
          <a:endParaRPr lang="en-US"/>
        </a:p>
      </dgm:t>
    </dgm:pt>
    <dgm:pt modelId="{2AE0F824-FA8A-42C1-9D2A-E33B050152A3}" type="pres">
      <dgm:prSet presAssocID="{D2C287C8-1AA5-448B-A58A-1109FB34846B}" presName="parentText" presStyleLbl="node1" presStyleIdx="1" presStyleCnt="3" custScaleX="112096">
        <dgm:presLayoutVars>
          <dgm:chMax val="1"/>
          <dgm:bulletEnabled val="1"/>
        </dgm:presLayoutVars>
      </dgm:prSet>
      <dgm:spPr>
        <a:prstGeom prst="roundRect">
          <a:avLst/>
        </a:prstGeom>
      </dgm:spPr>
      <dgm:t>
        <a:bodyPr/>
        <a:lstStyle/>
        <a:p>
          <a:endParaRPr lang="en-US"/>
        </a:p>
      </dgm:t>
    </dgm:pt>
    <dgm:pt modelId="{55C939D6-119A-4D40-83F6-3EC945C97AF0}" type="pres">
      <dgm:prSet presAssocID="{D2C287C8-1AA5-448B-A58A-1109FB34846B}" presName="descendantText" presStyleLbl="alignAccFollowNode1" presStyleIdx="1" presStyleCnt="3">
        <dgm:presLayoutVars>
          <dgm:bulletEnabled val="1"/>
        </dgm:presLayoutVars>
      </dgm:prSet>
      <dgm:spPr>
        <a:prstGeom prst="round2SameRect">
          <a:avLst/>
        </a:prstGeom>
      </dgm:spPr>
      <dgm:t>
        <a:bodyPr/>
        <a:lstStyle/>
        <a:p>
          <a:endParaRPr lang="en-US"/>
        </a:p>
      </dgm:t>
    </dgm:pt>
    <dgm:pt modelId="{FE918B5A-DFEF-42F2-9A09-B008A10DF62B}" type="pres">
      <dgm:prSet presAssocID="{C26D2569-844A-4D89-A218-20D45BEC167D}" presName="sp" presStyleCnt="0"/>
      <dgm:spPr/>
      <dgm:t>
        <a:bodyPr/>
        <a:lstStyle/>
        <a:p>
          <a:endParaRPr lang="en-US"/>
        </a:p>
      </dgm:t>
    </dgm:pt>
    <dgm:pt modelId="{68FF60E5-4A9C-4A76-9FDB-CDBFE4D10F05}" type="pres">
      <dgm:prSet presAssocID="{7F553660-012F-49A9-ACB7-57C764B5DDE0}" presName="linNode" presStyleCnt="0"/>
      <dgm:spPr/>
      <dgm:t>
        <a:bodyPr/>
        <a:lstStyle/>
        <a:p>
          <a:endParaRPr lang="en-US"/>
        </a:p>
      </dgm:t>
    </dgm:pt>
    <dgm:pt modelId="{C40FDCE3-A498-42E2-89FC-6E48C0194B72}" type="pres">
      <dgm:prSet presAssocID="{7F553660-012F-49A9-ACB7-57C764B5DDE0}" presName="parentText" presStyleLbl="node1" presStyleIdx="2" presStyleCnt="3" custScaleX="132903">
        <dgm:presLayoutVars>
          <dgm:chMax val="1"/>
          <dgm:bulletEnabled val="1"/>
        </dgm:presLayoutVars>
      </dgm:prSet>
      <dgm:spPr>
        <a:prstGeom prst="roundRect">
          <a:avLst/>
        </a:prstGeom>
      </dgm:spPr>
      <dgm:t>
        <a:bodyPr/>
        <a:lstStyle/>
        <a:p>
          <a:endParaRPr lang="en-US"/>
        </a:p>
      </dgm:t>
    </dgm:pt>
    <dgm:pt modelId="{131F0164-840F-49BE-A439-FDC7998700A2}" type="pres">
      <dgm:prSet presAssocID="{7F553660-012F-49A9-ACB7-57C764B5DDE0}" presName="descendantText" presStyleLbl="alignAccFollowNode1" presStyleIdx="2" presStyleCnt="3" custScaleX="123908">
        <dgm:presLayoutVars>
          <dgm:bulletEnabled val="1"/>
        </dgm:presLayoutVars>
      </dgm:prSet>
      <dgm:spPr>
        <a:prstGeom prst="round2SameRect">
          <a:avLst/>
        </a:prstGeom>
      </dgm:spPr>
      <dgm:t>
        <a:bodyPr/>
        <a:lstStyle/>
        <a:p>
          <a:endParaRPr lang="en-US"/>
        </a:p>
      </dgm:t>
    </dgm:pt>
  </dgm:ptLst>
  <dgm:cxnLst>
    <dgm:cxn modelId="{20BB65C5-9374-403F-90E0-7A501555801C}" srcId="{67D9DD6D-20A1-4C00-B4CA-5C4013D05CB7}" destId="{D2C287C8-1AA5-448B-A58A-1109FB34846B}" srcOrd="1" destOrd="0" parTransId="{85B15E57-C24E-4F51-94F9-5325E614AC96}" sibTransId="{C26D2569-844A-4D89-A218-20D45BEC167D}"/>
    <dgm:cxn modelId="{DCEF148C-637C-400A-93DD-81709C8BD1E1}" srcId="{7F553660-012F-49A9-ACB7-57C764B5DDE0}" destId="{65BB8638-0BD3-4952-B268-A2E24B080B09}" srcOrd="1" destOrd="0" parTransId="{C7C34685-0B2F-4661-AD73-424384CA472C}" sibTransId="{93B21632-B96F-475D-9A38-326853727C22}"/>
    <dgm:cxn modelId="{4171C9AD-641B-4E21-ACAE-968E05B7A73D}" type="presOf" srcId="{7F553660-012F-49A9-ACB7-57C764B5DDE0}" destId="{C40FDCE3-A498-42E2-89FC-6E48C0194B72}" srcOrd="0" destOrd="0" presId="urn:microsoft.com/office/officeart/2005/8/layout/vList5"/>
    <dgm:cxn modelId="{CF041EB4-0D94-41F3-AB17-B37A57B7E836}" srcId="{D2C287C8-1AA5-448B-A58A-1109FB34846B}" destId="{644A29F1-E36F-41DB-B7C5-39AD43D5EF64}" srcOrd="0" destOrd="0" parTransId="{83534BA9-8E27-4EF7-831F-1A4D7309BA73}" sibTransId="{B27611BE-3A3D-4401-9972-DA0CC15F54A7}"/>
    <dgm:cxn modelId="{F3EE63C9-CEFD-4846-AEFD-1AA4273D2930}" srcId="{FF4ADED1-A0C9-4FC4-B179-CC437E37DCF2}" destId="{25F0432F-7795-4195-BE30-4FBA99B206FF}" srcOrd="1" destOrd="0" parTransId="{BCA3919A-A813-4C1B-ABEE-F3367DBAD516}" sibTransId="{A85C4E12-0323-4C7A-879A-C0FD15515520}"/>
    <dgm:cxn modelId="{1E56170C-B716-437A-98EC-23D1CF41C4FC}" type="presOf" srcId="{25F0432F-7795-4195-BE30-4FBA99B206FF}" destId="{56197B2E-4C53-44DE-88AF-488AA04A2E2A}" srcOrd="0" destOrd="1" presId="urn:microsoft.com/office/officeart/2005/8/layout/vList5"/>
    <dgm:cxn modelId="{5BAF11CA-CEA2-4AB4-A737-CFE1C31093B3}" type="presOf" srcId="{65BB8638-0BD3-4952-B268-A2E24B080B09}" destId="{131F0164-840F-49BE-A439-FDC7998700A2}" srcOrd="0" destOrd="1" presId="urn:microsoft.com/office/officeart/2005/8/layout/vList5"/>
    <dgm:cxn modelId="{2EF17E53-7324-4FFD-B8F9-BB15E6D0F92B}" type="presOf" srcId="{D2C287C8-1AA5-448B-A58A-1109FB34846B}" destId="{2AE0F824-FA8A-42C1-9D2A-E33B050152A3}" srcOrd="0" destOrd="0" presId="urn:microsoft.com/office/officeart/2005/8/layout/vList5"/>
    <dgm:cxn modelId="{7786FBD0-AD58-4E7B-8DC6-D7DF7605015A}" srcId="{67D9DD6D-20A1-4C00-B4CA-5C4013D05CB7}" destId="{FF4ADED1-A0C9-4FC4-B179-CC437E37DCF2}" srcOrd="0" destOrd="0" parTransId="{36400ABD-E988-4C5B-8696-9AB426208708}" sibTransId="{5448B5CF-CA7A-4B28-9A1D-4E4C2FE2C10F}"/>
    <dgm:cxn modelId="{A37A8529-9DDF-4AD1-9A99-191B44FD606C}" srcId="{D2C287C8-1AA5-448B-A58A-1109FB34846B}" destId="{F55A26EA-F6A0-429F-B579-8E0280DCA85E}" srcOrd="1" destOrd="0" parTransId="{FC050CBA-36C6-46B1-929C-82FE4C41C334}" sibTransId="{429D29C7-BBFA-438F-8A91-530472CCECE8}"/>
    <dgm:cxn modelId="{A17B75B2-A424-4210-A30E-C279FBECA9F8}" srcId="{7F553660-012F-49A9-ACB7-57C764B5DDE0}" destId="{2F8481B7-7D8D-4F6B-8719-DEAC1CB55B0D}" srcOrd="0" destOrd="0" parTransId="{DBA1B908-D428-4371-B065-D2ABF913BE24}" sibTransId="{C565833C-5E2F-45F2-8402-D0756B09B448}"/>
    <dgm:cxn modelId="{380BE508-F4FD-470B-9C82-D80ADDEB1471}" srcId="{67D9DD6D-20A1-4C00-B4CA-5C4013D05CB7}" destId="{7F553660-012F-49A9-ACB7-57C764B5DDE0}" srcOrd="2" destOrd="0" parTransId="{B3390C16-6AD5-4F28-8385-EEBF91EC4CE6}" sibTransId="{EB4A4BE3-53A3-4F0F-9F3B-62D40626F7E7}"/>
    <dgm:cxn modelId="{720037C7-56A7-451A-90ED-89D2C1B2023F}" type="presOf" srcId="{2F8481B7-7D8D-4F6B-8719-DEAC1CB55B0D}" destId="{131F0164-840F-49BE-A439-FDC7998700A2}" srcOrd="0" destOrd="0" presId="urn:microsoft.com/office/officeart/2005/8/layout/vList5"/>
    <dgm:cxn modelId="{D01022B1-7244-4BCA-8DAF-6E1851AA1108}" type="presOf" srcId="{6DFBF426-1695-48A1-9F8A-CF0938C10761}" destId="{56197B2E-4C53-44DE-88AF-488AA04A2E2A}" srcOrd="0" destOrd="0" presId="urn:microsoft.com/office/officeart/2005/8/layout/vList5"/>
    <dgm:cxn modelId="{2CC7AA9C-2F1D-4663-9688-738E61569CBE}" type="presOf" srcId="{67D9DD6D-20A1-4C00-B4CA-5C4013D05CB7}" destId="{F6D1D78A-16D8-4A81-98AF-09488F880D17}" srcOrd="0" destOrd="0" presId="urn:microsoft.com/office/officeart/2005/8/layout/vList5"/>
    <dgm:cxn modelId="{B5629054-E0E7-4140-803F-B44CD7644529}" type="presOf" srcId="{644A29F1-E36F-41DB-B7C5-39AD43D5EF64}" destId="{55C939D6-119A-4D40-83F6-3EC945C97AF0}" srcOrd="0" destOrd="0" presId="urn:microsoft.com/office/officeart/2005/8/layout/vList5"/>
    <dgm:cxn modelId="{5CCBCD9E-1800-4236-8577-E01CB8823E74}" type="presOf" srcId="{FF4ADED1-A0C9-4FC4-B179-CC437E37DCF2}" destId="{29D73FAC-182F-4D9F-BE85-BFA0C29C69BB}" srcOrd="0" destOrd="0" presId="urn:microsoft.com/office/officeart/2005/8/layout/vList5"/>
    <dgm:cxn modelId="{912E88F3-98FE-43E5-968B-7C2F99905342}" srcId="{FF4ADED1-A0C9-4FC4-B179-CC437E37DCF2}" destId="{6DFBF426-1695-48A1-9F8A-CF0938C10761}" srcOrd="0" destOrd="0" parTransId="{100B0AEF-AFF9-430B-8BE5-2665C6CB71E6}" sibTransId="{56B611E0-21B1-4DC3-B461-6E6F6A6A7EB9}"/>
    <dgm:cxn modelId="{CC19FA8C-E0EF-47D3-AC6C-6FA8E99539A4}" type="presOf" srcId="{F55A26EA-F6A0-429F-B579-8E0280DCA85E}" destId="{55C939D6-119A-4D40-83F6-3EC945C97AF0}" srcOrd="0" destOrd="1" presId="urn:microsoft.com/office/officeart/2005/8/layout/vList5"/>
    <dgm:cxn modelId="{A4A10CD3-1901-446A-A89E-47AD2E25549C}" type="presParOf" srcId="{F6D1D78A-16D8-4A81-98AF-09488F880D17}" destId="{6191ADB5-14EB-46F7-820E-B6AE3AE96AAA}" srcOrd="0" destOrd="0" presId="urn:microsoft.com/office/officeart/2005/8/layout/vList5"/>
    <dgm:cxn modelId="{06F63257-67C6-477F-95F8-835768FB15C9}" type="presParOf" srcId="{6191ADB5-14EB-46F7-820E-B6AE3AE96AAA}" destId="{29D73FAC-182F-4D9F-BE85-BFA0C29C69BB}" srcOrd="0" destOrd="0" presId="urn:microsoft.com/office/officeart/2005/8/layout/vList5"/>
    <dgm:cxn modelId="{11208A47-00DD-43C1-A703-E32F4668D41D}" type="presParOf" srcId="{6191ADB5-14EB-46F7-820E-B6AE3AE96AAA}" destId="{56197B2E-4C53-44DE-88AF-488AA04A2E2A}" srcOrd="1" destOrd="0" presId="urn:microsoft.com/office/officeart/2005/8/layout/vList5"/>
    <dgm:cxn modelId="{CD4CF13A-90C3-478E-BADE-F509AE1EF8C1}" type="presParOf" srcId="{F6D1D78A-16D8-4A81-98AF-09488F880D17}" destId="{F77116A6-84CC-4B78-A94B-2DFB7C8797A6}" srcOrd="1" destOrd="0" presId="urn:microsoft.com/office/officeart/2005/8/layout/vList5"/>
    <dgm:cxn modelId="{4367A431-0CD3-4F08-B6ED-71FA0B4ACF91}" type="presParOf" srcId="{F6D1D78A-16D8-4A81-98AF-09488F880D17}" destId="{5CB290C0-46C6-4919-92F1-57D2E4256ACE}" srcOrd="2" destOrd="0" presId="urn:microsoft.com/office/officeart/2005/8/layout/vList5"/>
    <dgm:cxn modelId="{1C6E3FF9-EE31-4974-85CE-F636A54EDB7F}" type="presParOf" srcId="{5CB290C0-46C6-4919-92F1-57D2E4256ACE}" destId="{2AE0F824-FA8A-42C1-9D2A-E33B050152A3}" srcOrd="0" destOrd="0" presId="urn:microsoft.com/office/officeart/2005/8/layout/vList5"/>
    <dgm:cxn modelId="{FE960D1A-4773-421A-BBC8-F189AB4AA60B}" type="presParOf" srcId="{5CB290C0-46C6-4919-92F1-57D2E4256ACE}" destId="{55C939D6-119A-4D40-83F6-3EC945C97AF0}" srcOrd="1" destOrd="0" presId="urn:microsoft.com/office/officeart/2005/8/layout/vList5"/>
    <dgm:cxn modelId="{224A238A-9123-4292-9CF1-DF888982EEE7}" type="presParOf" srcId="{F6D1D78A-16D8-4A81-98AF-09488F880D17}" destId="{FE918B5A-DFEF-42F2-9A09-B008A10DF62B}" srcOrd="3" destOrd="0" presId="urn:microsoft.com/office/officeart/2005/8/layout/vList5"/>
    <dgm:cxn modelId="{F01A6567-B84C-43EB-8341-3EC04285653D}" type="presParOf" srcId="{F6D1D78A-16D8-4A81-98AF-09488F880D17}" destId="{68FF60E5-4A9C-4A76-9FDB-CDBFE4D10F05}" srcOrd="4" destOrd="0" presId="urn:microsoft.com/office/officeart/2005/8/layout/vList5"/>
    <dgm:cxn modelId="{A0B58D59-342C-4DAF-A26E-A89254377D1F}" type="presParOf" srcId="{68FF60E5-4A9C-4A76-9FDB-CDBFE4D10F05}" destId="{C40FDCE3-A498-42E2-89FC-6E48C0194B72}" srcOrd="0" destOrd="0" presId="urn:microsoft.com/office/officeart/2005/8/layout/vList5"/>
    <dgm:cxn modelId="{A77C7FF4-480E-4F93-9FA8-06BD048C9B2D}" type="presParOf" srcId="{68FF60E5-4A9C-4A76-9FDB-CDBFE4D10F05}" destId="{131F0164-840F-49BE-A439-FDC7998700A2}" srcOrd="1" destOrd="0" presId="urn:microsoft.com/office/officeart/2005/8/layout/vList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61B47D-DC7D-4A7F-A6B1-2EA292A1D4EB}">
      <dsp:nvSpPr>
        <dsp:cNvPr id="0" name=""/>
        <dsp:cNvSpPr/>
      </dsp:nvSpPr>
      <dsp:spPr>
        <a:xfrm>
          <a:off x="451714" y="1258706"/>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Budget Policy </a:t>
          </a:r>
        </a:p>
      </dsp:txBody>
      <dsp:txXfrm>
        <a:off x="451714" y="1258706"/>
        <a:ext cx="1249869" cy="624934"/>
      </dsp:txXfrm>
    </dsp:sp>
    <dsp:sp modelId="{983D512D-2029-4B54-9E54-88EB971F689B}">
      <dsp:nvSpPr>
        <dsp:cNvPr id="0" name=""/>
        <dsp:cNvSpPr/>
      </dsp:nvSpPr>
      <dsp:spPr>
        <a:xfrm rot="17500715">
          <a:off x="1274854" y="926271"/>
          <a:ext cx="1353406" cy="32124"/>
        </a:xfrm>
        <a:custGeom>
          <a:avLst/>
          <a:gdLst/>
          <a:ahLst/>
          <a:cxnLst/>
          <a:rect l="0" t="0" r="0" b="0"/>
          <a:pathLst>
            <a:path>
              <a:moveTo>
                <a:pt x="0" y="16062"/>
              </a:moveTo>
              <a:lnTo>
                <a:pt x="1353406"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500715">
        <a:off x="1917722" y="908498"/>
        <a:ext cx="67670" cy="67670"/>
      </dsp:txXfrm>
    </dsp:sp>
    <dsp:sp modelId="{49EF6506-BCD0-4A32-B261-C71D5D3BED9C}">
      <dsp:nvSpPr>
        <dsp:cNvPr id="0" name=""/>
        <dsp:cNvSpPr/>
      </dsp:nvSpPr>
      <dsp:spPr>
        <a:xfrm>
          <a:off x="2201531" y="1025"/>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Revenue</a:t>
          </a:r>
        </a:p>
      </dsp:txBody>
      <dsp:txXfrm>
        <a:off x="2201531" y="1025"/>
        <a:ext cx="1249869" cy="624934"/>
      </dsp:txXfrm>
    </dsp:sp>
    <dsp:sp modelId="{B4414C69-60A0-4AFA-93E7-CFC0BC405A24}">
      <dsp:nvSpPr>
        <dsp:cNvPr id="0" name=""/>
        <dsp:cNvSpPr/>
      </dsp:nvSpPr>
      <dsp:spPr>
        <a:xfrm>
          <a:off x="3451400" y="297431"/>
          <a:ext cx="499947" cy="32124"/>
        </a:xfrm>
        <a:custGeom>
          <a:avLst/>
          <a:gdLst/>
          <a:ahLst/>
          <a:cxnLst/>
          <a:rect l="0" t="0" r="0" b="0"/>
          <a:pathLst>
            <a:path>
              <a:moveTo>
                <a:pt x="0" y="16062"/>
              </a:moveTo>
              <a:lnTo>
                <a:pt x="499947"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88875" y="300994"/>
        <a:ext cx="24997" cy="24997"/>
      </dsp:txXfrm>
    </dsp:sp>
    <dsp:sp modelId="{E4949F94-9EBE-43A7-83EB-F57CABF0A202}">
      <dsp:nvSpPr>
        <dsp:cNvPr id="0" name=""/>
        <dsp:cNvSpPr/>
      </dsp:nvSpPr>
      <dsp:spPr>
        <a:xfrm>
          <a:off x="3951348" y="1025"/>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Create incentives via tax and royalties to reduce deforestation and land and forest degradation </a:t>
          </a:r>
        </a:p>
      </dsp:txBody>
      <dsp:txXfrm>
        <a:off x="3951348" y="1025"/>
        <a:ext cx="1249869" cy="624934"/>
      </dsp:txXfrm>
    </dsp:sp>
    <dsp:sp modelId="{33433A0C-9F81-42E0-A9CD-0EC6D9D8992D}">
      <dsp:nvSpPr>
        <dsp:cNvPr id="0" name=""/>
        <dsp:cNvSpPr/>
      </dsp:nvSpPr>
      <dsp:spPr>
        <a:xfrm rot="20413970">
          <a:off x="1685931" y="1465277"/>
          <a:ext cx="531251" cy="32124"/>
        </a:xfrm>
        <a:custGeom>
          <a:avLst/>
          <a:gdLst/>
          <a:ahLst/>
          <a:cxnLst/>
          <a:rect l="0" t="0" r="0" b="0"/>
          <a:pathLst>
            <a:path>
              <a:moveTo>
                <a:pt x="0" y="16062"/>
              </a:moveTo>
              <a:lnTo>
                <a:pt x="53125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413970">
        <a:off x="1938276" y="1468058"/>
        <a:ext cx="26562" cy="26562"/>
      </dsp:txXfrm>
    </dsp:sp>
    <dsp:sp modelId="{4A1E7985-8D28-4699-BDB8-362EFFF76A06}">
      <dsp:nvSpPr>
        <dsp:cNvPr id="0" name=""/>
        <dsp:cNvSpPr/>
      </dsp:nvSpPr>
      <dsp:spPr>
        <a:xfrm>
          <a:off x="2201531" y="1079037"/>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Expenditure</a:t>
          </a:r>
        </a:p>
      </dsp:txBody>
      <dsp:txXfrm>
        <a:off x="2201531" y="1079037"/>
        <a:ext cx="1249869" cy="624934"/>
      </dsp:txXfrm>
    </dsp:sp>
    <dsp:sp modelId="{9712D045-485B-412D-8C2A-FDD00972406C}">
      <dsp:nvSpPr>
        <dsp:cNvPr id="0" name=""/>
        <dsp:cNvSpPr/>
      </dsp:nvSpPr>
      <dsp:spPr>
        <a:xfrm rot="19457599">
          <a:off x="3393530" y="1195774"/>
          <a:ext cx="615687" cy="32124"/>
        </a:xfrm>
        <a:custGeom>
          <a:avLst/>
          <a:gdLst/>
          <a:ahLst/>
          <a:cxnLst/>
          <a:rect l="0" t="0" r="0" b="0"/>
          <a:pathLst>
            <a:path>
              <a:moveTo>
                <a:pt x="0" y="16062"/>
              </a:moveTo>
              <a:lnTo>
                <a:pt x="615687"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685982" y="1196444"/>
        <a:ext cx="30784" cy="30784"/>
      </dsp:txXfrm>
    </dsp:sp>
    <dsp:sp modelId="{F53EF08B-FA84-4204-9572-EDB2C652A90A}">
      <dsp:nvSpPr>
        <dsp:cNvPr id="0" name=""/>
        <dsp:cNvSpPr/>
      </dsp:nvSpPr>
      <dsp:spPr>
        <a:xfrm>
          <a:off x="3951348" y="719700"/>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Ensure expenditure allocations are efficient in supporting priority programs and activities </a:t>
          </a:r>
        </a:p>
      </dsp:txBody>
      <dsp:txXfrm>
        <a:off x="3951348" y="719700"/>
        <a:ext cx="1249869" cy="624934"/>
      </dsp:txXfrm>
    </dsp:sp>
    <dsp:sp modelId="{0E01691F-940B-490B-B672-AD6C1CD17BD1}">
      <dsp:nvSpPr>
        <dsp:cNvPr id="0" name=""/>
        <dsp:cNvSpPr/>
      </dsp:nvSpPr>
      <dsp:spPr>
        <a:xfrm rot="2142401">
          <a:off x="3393530" y="1555111"/>
          <a:ext cx="615687" cy="32124"/>
        </a:xfrm>
        <a:custGeom>
          <a:avLst/>
          <a:gdLst/>
          <a:ahLst/>
          <a:cxnLst/>
          <a:rect l="0" t="0" r="0" b="0"/>
          <a:pathLst>
            <a:path>
              <a:moveTo>
                <a:pt x="0" y="16062"/>
              </a:moveTo>
              <a:lnTo>
                <a:pt x="615687"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685982" y="1555781"/>
        <a:ext cx="30784" cy="30784"/>
      </dsp:txXfrm>
    </dsp:sp>
    <dsp:sp modelId="{0ABA3002-CE65-4406-A0A1-A67B8BA0B106}">
      <dsp:nvSpPr>
        <dsp:cNvPr id="0" name=""/>
        <dsp:cNvSpPr/>
      </dsp:nvSpPr>
      <dsp:spPr>
        <a:xfrm>
          <a:off x="3951348" y="1438375"/>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Ensure that budgets are used and realized effectively</a:t>
          </a:r>
        </a:p>
      </dsp:txBody>
      <dsp:txXfrm>
        <a:off x="3951348" y="1438375"/>
        <a:ext cx="1249869" cy="624934"/>
      </dsp:txXfrm>
    </dsp:sp>
    <dsp:sp modelId="{75DC297A-71EC-4FFC-8D12-228B6E4D95AA}">
      <dsp:nvSpPr>
        <dsp:cNvPr id="0" name=""/>
        <dsp:cNvSpPr/>
      </dsp:nvSpPr>
      <dsp:spPr>
        <a:xfrm rot="4099285">
          <a:off x="1274854" y="2183952"/>
          <a:ext cx="1353406" cy="32124"/>
        </a:xfrm>
        <a:custGeom>
          <a:avLst/>
          <a:gdLst/>
          <a:ahLst/>
          <a:cxnLst/>
          <a:rect l="0" t="0" r="0" b="0"/>
          <a:pathLst>
            <a:path>
              <a:moveTo>
                <a:pt x="0" y="16062"/>
              </a:moveTo>
              <a:lnTo>
                <a:pt x="1353406"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099285">
        <a:off x="1917722" y="2166179"/>
        <a:ext cx="67670" cy="67670"/>
      </dsp:txXfrm>
    </dsp:sp>
    <dsp:sp modelId="{DD038893-4D56-475E-8FD7-28EC5316C952}">
      <dsp:nvSpPr>
        <dsp:cNvPr id="0" name=""/>
        <dsp:cNvSpPr/>
      </dsp:nvSpPr>
      <dsp:spPr>
        <a:xfrm>
          <a:off x="2201531" y="2516387"/>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Funding</a:t>
          </a:r>
        </a:p>
      </dsp:txBody>
      <dsp:txXfrm>
        <a:off x="2201531" y="2516387"/>
        <a:ext cx="1249869" cy="624934"/>
      </dsp:txXfrm>
    </dsp:sp>
    <dsp:sp modelId="{A9F51C56-1052-43FA-87E0-E3A3C5669D42}">
      <dsp:nvSpPr>
        <dsp:cNvPr id="0" name=""/>
        <dsp:cNvSpPr/>
      </dsp:nvSpPr>
      <dsp:spPr>
        <a:xfrm rot="19457599">
          <a:off x="3393530" y="2633123"/>
          <a:ext cx="615687" cy="32124"/>
        </a:xfrm>
        <a:custGeom>
          <a:avLst/>
          <a:gdLst/>
          <a:ahLst/>
          <a:cxnLst/>
          <a:rect l="0" t="0" r="0" b="0"/>
          <a:pathLst>
            <a:path>
              <a:moveTo>
                <a:pt x="0" y="16062"/>
              </a:moveTo>
              <a:lnTo>
                <a:pt x="615687"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685982" y="2633793"/>
        <a:ext cx="30784" cy="30784"/>
      </dsp:txXfrm>
    </dsp:sp>
    <dsp:sp modelId="{B5F60F7F-8AA8-4AEC-94F3-99FA61B9724A}">
      <dsp:nvSpPr>
        <dsp:cNvPr id="0" name=""/>
        <dsp:cNvSpPr/>
      </dsp:nvSpPr>
      <dsp:spPr>
        <a:xfrm>
          <a:off x="3951348" y="2157049"/>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Ensure equitable investment for green business</a:t>
          </a:r>
        </a:p>
      </dsp:txBody>
      <dsp:txXfrm>
        <a:off x="3951348" y="2157049"/>
        <a:ext cx="1249869" cy="624934"/>
      </dsp:txXfrm>
    </dsp:sp>
    <dsp:sp modelId="{D51FEC16-336B-47BC-B162-C314961BAF22}">
      <dsp:nvSpPr>
        <dsp:cNvPr id="0" name=""/>
        <dsp:cNvSpPr/>
      </dsp:nvSpPr>
      <dsp:spPr>
        <a:xfrm rot="2142401">
          <a:off x="3393530" y="2992461"/>
          <a:ext cx="615687" cy="32124"/>
        </a:xfrm>
        <a:custGeom>
          <a:avLst/>
          <a:gdLst/>
          <a:ahLst/>
          <a:cxnLst/>
          <a:rect l="0" t="0" r="0" b="0"/>
          <a:pathLst>
            <a:path>
              <a:moveTo>
                <a:pt x="0" y="16062"/>
              </a:moveTo>
              <a:lnTo>
                <a:pt x="615687"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685982" y="2993131"/>
        <a:ext cx="30784" cy="30784"/>
      </dsp:txXfrm>
    </dsp:sp>
    <dsp:sp modelId="{B7403666-E9AA-49C6-8B6C-62C5050FCE29}">
      <dsp:nvSpPr>
        <dsp:cNvPr id="0" name=""/>
        <dsp:cNvSpPr/>
      </dsp:nvSpPr>
      <dsp:spPr>
        <a:xfrm>
          <a:off x="3951348" y="2875724"/>
          <a:ext cx="1249869" cy="624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Ensure budget optimization (reduce surplus for priority programs)</a:t>
          </a:r>
        </a:p>
      </dsp:txBody>
      <dsp:txXfrm>
        <a:off x="3951348" y="2875724"/>
        <a:ext cx="1249869" cy="6249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197B2E-4C53-44DE-88AF-488AA04A2E2A}">
      <dsp:nvSpPr>
        <dsp:cNvPr id="0" name=""/>
        <dsp:cNvSpPr/>
      </dsp:nvSpPr>
      <dsp:spPr>
        <a:xfrm rot="5400000">
          <a:off x="2840295" y="-929261"/>
          <a:ext cx="728390" cy="2771769"/>
        </a:xfrm>
        <a:prstGeom prst="round2SameRect">
          <a:avLst/>
        </a:prstGeom>
        <a:solidFill>
          <a:srgbClr val="C0504D">
            <a:tint val="40000"/>
            <a:alpha val="90000"/>
            <a:hueOff val="0"/>
            <a:satOff val="0"/>
            <a:lumOff val="0"/>
            <a:alphaOff val="0"/>
          </a:srgbClr>
        </a:solidFill>
        <a:ln w="25400" cap="flat" cmpd="sng" algn="ctr">
          <a:solidFill>
            <a:srgbClr val="C0504D">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Growth and profile of revenue, expenditure and regional funding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Development of expenditure on land and forest governance affairs </a:t>
          </a:r>
        </a:p>
      </dsp:txBody>
      <dsp:txXfrm rot="5400000">
        <a:off x="2840295" y="-929261"/>
        <a:ext cx="728390" cy="2771769"/>
      </dsp:txXfrm>
    </dsp:sp>
    <dsp:sp modelId="{29D73FAC-182F-4D9F-BE85-BFA0C29C69BB}">
      <dsp:nvSpPr>
        <dsp:cNvPr id="0" name=""/>
        <dsp:cNvSpPr/>
      </dsp:nvSpPr>
      <dsp:spPr>
        <a:xfrm>
          <a:off x="547" y="1379"/>
          <a:ext cx="1818059" cy="91048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b="1" kern="1200">
              <a:solidFill>
                <a:sysClr val="window" lastClr="FFFFFF"/>
              </a:solidFill>
              <a:latin typeface="Calibri"/>
              <a:ea typeface="+mn-ea"/>
              <a:cs typeface="+mn-cs"/>
            </a:rPr>
            <a:t>Trend</a:t>
          </a:r>
        </a:p>
      </dsp:txBody>
      <dsp:txXfrm>
        <a:off x="547" y="1379"/>
        <a:ext cx="1818059" cy="910488"/>
      </dsp:txXfrm>
    </dsp:sp>
    <dsp:sp modelId="{55C939D6-119A-4D40-83F6-3EC945C97AF0}">
      <dsp:nvSpPr>
        <dsp:cNvPr id="0" name=""/>
        <dsp:cNvSpPr/>
      </dsp:nvSpPr>
      <dsp:spPr>
        <a:xfrm rot="5400000">
          <a:off x="2818606" y="5232"/>
          <a:ext cx="728390" cy="2814809"/>
        </a:xfrm>
        <a:prstGeom prst="round2SameRect">
          <a:avLst/>
        </a:prstGeom>
        <a:solidFill>
          <a:srgbClr val="C0504D">
            <a:tint val="40000"/>
            <a:alpha val="90000"/>
            <a:hueOff val="2512910"/>
            <a:satOff val="-2189"/>
            <a:lumOff val="-3"/>
            <a:alphaOff val="0"/>
          </a:srgbClr>
        </a:solidFill>
        <a:ln w="25400" cap="flat" cmpd="sng" algn="ctr">
          <a:solidFill>
            <a:srgbClr val="C0504D">
              <a:tint val="40000"/>
              <a:alpha val="90000"/>
              <a:hueOff val="2512910"/>
              <a:satOff val="-2189"/>
              <a:lumOff val="-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Relevance of budget policy to issues of land   and forest governance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Direction of regional expenditure to land and forest governance </a:t>
          </a:r>
        </a:p>
      </dsp:txBody>
      <dsp:txXfrm rot="5400000">
        <a:off x="2818606" y="5232"/>
        <a:ext cx="728390" cy="2814809"/>
      </dsp:txXfrm>
    </dsp:sp>
    <dsp:sp modelId="{2AE0F824-FA8A-42C1-9D2A-E33B050152A3}">
      <dsp:nvSpPr>
        <dsp:cNvPr id="0" name=""/>
        <dsp:cNvSpPr/>
      </dsp:nvSpPr>
      <dsp:spPr>
        <a:xfrm>
          <a:off x="547" y="957392"/>
          <a:ext cx="1774850" cy="910488"/>
        </a:xfrm>
        <a:prstGeom prst="roundRect">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b="1" kern="1200">
              <a:solidFill>
                <a:sysClr val="window" lastClr="FFFFFF"/>
              </a:solidFill>
              <a:latin typeface="Calibri"/>
              <a:ea typeface="+mn-ea"/>
              <a:cs typeface="+mn-cs"/>
            </a:rPr>
            <a:t>Proportion</a:t>
          </a:r>
        </a:p>
      </dsp:txBody>
      <dsp:txXfrm>
        <a:off x="547" y="957392"/>
        <a:ext cx="1774850" cy="910488"/>
      </dsp:txXfrm>
    </dsp:sp>
    <dsp:sp modelId="{131F0164-840F-49BE-A439-FDC7998700A2}">
      <dsp:nvSpPr>
        <dsp:cNvPr id="0" name=""/>
        <dsp:cNvSpPr/>
      </dsp:nvSpPr>
      <dsp:spPr>
        <a:xfrm rot="5400000">
          <a:off x="2794134" y="937631"/>
          <a:ext cx="728390" cy="2862037"/>
        </a:xfrm>
        <a:prstGeom prst="round2SameRect">
          <a:avLst/>
        </a:prstGeom>
        <a:solidFill>
          <a:srgbClr val="C0504D">
            <a:tint val="40000"/>
            <a:alpha val="90000"/>
            <a:hueOff val="5025821"/>
            <a:satOff val="-4378"/>
            <a:lumOff val="-6"/>
            <a:alphaOff val="0"/>
          </a:srgbClr>
        </a:solidFill>
        <a:ln w="25400" cap="flat" cmpd="sng" algn="ctr">
          <a:solidFill>
            <a:srgbClr val="C0504D">
              <a:tint val="40000"/>
              <a:alpha val="90000"/>
              <a:hueOff val="5025821"/>
              <a:satOff val="-4378"/>
              <a:lumOff val="-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 </a:t>
          </a:r>
          <a:r>
            <a:rPr lang="en-US" sz="1000" kern="1200">
              <a:solidFill>
                <a:sysClr val="windowText" lastClr="000000">
                  <a:hueOff val="0"/>
                  <a:satOff val="0"/>
                  <a:lumOff val="0"/>
                  <a:alphaOff val="0"/>
                </a:sysClr>
              </a:solidFill>
              <a:latin typeface="Calibri"/>
              <a:ea typeface="+mn-ea"/>
              <a:cs typeface="+mn-cs"/>
            </a:rPr>
            <a:t>Relationship between budget policy, commitment and regional development target indicators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 Relationship between revenue, expenditure and funding</a:t>
          </a:r>
        </a:p>
      </dsp:txBody>
      <dsp:txXfrm rot="5400000">
        <a:off x="2794134" y="937631"/>
        <a:ext cx="728390" cy="2862037"/>
      </dsp:txXfrm>
    </dsp:sp>
    <dsp:sp modelId="{C40FDCE3-A498-42E2-89FC-6E48C0194B72}">
      <dsp:nvSpPr>
        <dsp:cNvPr id="0" name=""/>
        <dsp:cNvSpPr/>
      </dsp:nvSpPr>
      <dsp:spPr>
        <a:xfrm>
          <a:off x="547" y="1913405"/>
          <a:ext cx="1726764" cy="91048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US" sz="2400" b="1" kern="1200">
              <a:solidFill>
                <a:sysClr val="window" lastClr="FFFFFF"/>
              </a:solidFill>
              <a:latin typeface="Calibri"/>
              <a:ea typeface="+mn-ea"/>
              <a:cs typeface="+mn-cs"/>
            </a:rPr>
            <a:t>Correlation</a:t>
          </a:r>
        </a:p>
      </dsp:txBody>
      <dsp:txXfrm>
        <a:off x="547" y="1913405"/>
        <a:ext cx="1726764" cy="910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descr="GRAPHIC 3.12.pn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11557000" cy="61849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AEED-3160-47F2-AA90-8026155C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Daerah - Pendapatan</Template>
  <TotalTime>87</TotalTime>
  <Pages>66</Pages>
  <Words>20605</Words>
  <Characters>117450</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OPIK</dc:creator>
  <cp:lastModifiedBy>Windows User</cp:lastModifiedBy>
  <cp:revision>10</cp:revision>
  <cp:lastPrinted>2014-06-02T18:03:00Z</cp:lastPrinted>
  <dcterms:created xsi:type="dcterms:W3CDTF">2014-08-21T04:10:00Z</dcterms:created>
  <dcterms:modified xsi:type="dcterms:W3CDTF">2014-08-22T08:15:00Z</dcterms:modified>
</cp:coreProperties>
</file>