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42" w:rsidRPr="00754142" w:rsidRDefault="00754142" w:rsidP="0077555D">
      <w:pPr>
        <w:pStyle w:val="NoSpacing"/>
        <w:rPr>
          <w:rFonts w:ascii="Times New Roman" w:hAnsi="Times New Roman" w:cs="Times New Roman"/>
          <w:b/>
          <w:sz w:val="24"/>
          <w:szCs w:val="24"/>
          <w:lang w:val="id-ID"/>
        </w:rPr>
      </w:pPr>
    </w:p>
    <w:p w:rsidR="0077555D" w:rsidRDefault="00E06608" w:rsidP="0054438B">
      <w:pPr>
        <w:pStyle w:val="NoSpacing"/>
        <w:jc w:val="both"/>
        <w:rPr>
          <w:rFonts w:ascii="Times New Roman" w:hAnsi="Times New Roman" w:cs="Times New Roman"/>
          <w:b/>
          <w:sz w:val="28"/>
          <w:szCs w:val="24"/>
          <w:lang w:val="id-ID"/>
        </w:rPr>
      </w:pPr>
      <w:r w:rsidRPr="00E06608">
        <w:rPr>
          <w:rFonts w:ascii="Times New Roman" w:hAnsi="Times New Roman" w:cs="Times New Roman"/>
          <w:b/>
          <w:sz w:val="28"/>
          <w:szCs w:val="24"/>
        </w:rPr>
        <w:t xml:space="preserve">HUBUNGAN ANTARA UMUR, PARITAS DAN ANEMIA DENGAN KEJADIAN BERAT BADAN LAHIR RENDAH (BBLR) </w:t>
      </w:r>
    </w:p>
    <w:p w:rsidR="0077555D" w:rsidRDefault="00E06608" w:rsidP="0054438B">
      <w:pPr>
        <w:pStyle w:val="NoSpacing"/>
        <w:jc w:val="both"/>
        <w:rPr>
          <w:rFonts w:ascii="Times New Roman" w:hAnsi="Times New Roman" w:cs="Times New Roman"/>
          <w:b/>
          <w:sz w:val="28"/>
          <w:szCs w:val="24"/>
          <w:lang w:val="id-ID"/>
        </w:rPr>
      </w:pPr>
      <w:r w:rsidRPr="00E06608">
        <w:rPr>
          <w:rFonts w:ascii="Times New Roman" w:hAnsi="Times New Roman" w:cs="Times New Roman"/>
          <w:b/>
          <w:sz w:val="28"/>
          <w:szCs w:val="24"/>
        </w:rPr>
        <w:t xml:space="preserve">DI RSUD RADEN MATTAHER JAMBI </w:t>
      </w:r>
    </w:p>
    <w:p w:rsidR="002108E8" w:rsidRPr="00E06608" w:rsidRDefault="00E06608" w:rsidP="0054438B">
      <w:pPr>
        <w:pStyle w:val="NoSpacing"/>
        <w:jc w:val="both"/>
        <w:rPr>
          <w:rFonts w:ascii="Times New Roman" w:hAnsi="Times New Roman" w:cs="Times New Roman"/>
          <w:b/>
          <w:sz w:val="28"/>
          <w:szCs w:val="24"/>
        </w:rPr>
      </w:pPr>
      <w:r w:rsidRPr="00E06608">
        <w:rPr>
          <w:rFonts w:ascii="Times New Roman" w:hAnsi="Times New Roman" w:cs="Times New Roman"/>
          <w:b/>
          <w:sz w:val="28"/>
          <w:szCs w:val="24"/>
        </w:rPr>
        <w:t>TAHUN 2016 - 2017</w:t>
      </w:r>
    </w:p>
    <w:p w:rsidR="000B3803" w:rsidRPr="00754142" w:rsidRDefault="000B3803" w:rsidP="0085472E">
      <w:pPr>
        <w:pStyle w:val="NoSpacing"/>
        <w:jc w:val="both"/>
        <w:rPr>
          <w:rFonts w:ascii="Times New Roman" w:hAnsi="Times New Roman" w:cs="Times New Roman"/>
          <w:b/>
          <w:sz w:val="24"/>
          <w:szCs w:val="24"/>
        </w:rPr>
      </w:pPr>
    </w:p>
    <w:p w:rsidR="00892FA3" w:rsidRPr="00754142" w:rsidRDefault="00892FA3" w:rsidP="00892FA3">
      <w:pPr>
        <w:pStyle w:val="NoSpacing"/>
        <w:rPr>
          <w:rFonts w:ascii="Times New Roman" w:hAnsi="Times New Roman" w:cs="Times New Roman"/>
          <w:sz w:val="24"/>
          <w:szCs w:val="24"/>
        </w:rPr>
      </w:pPr>
    </w:p>
    <w:p w:rsidR="000B3803" w:rsidRDefault="0054438B" w:rsidP="0054438B">
      <w:pPr>
        <w:jc w:val="both"/>
        <w:rPr>
          <w:b/>
          <w:lang w:val="id-ID"/>
        </w:rPr>
      </w:pPr>
      <w:r>
        <w:rPr>
          <w:b/>
          <w:lang w:val="id-ID"/>
        </w:rPr>
        <w:t>*</w:t>
      </w:r>
      <w:r w:rsidR="0077555D" w:rsidRPr="0077555D">
        <w:rPr>
          <w:b/>
          <w:lang w:val="id-ID"/>
        </w:rPr>
        <w:t>Dewi Riastawaty</w:t>
      </w:r>
      <w:bookmarkStart w:id="0" w:name="_GoBack"/>
      <w:bookmarkEnd w:id="0"/>
    </w:p>
    <w:p w:rsidR="0054438B" w:rsidRDefault="0054438B" w:rsidP="0054438B">
      <w:pPr>
        <w:jc w:val="both"/>
        <w:rPr>
          <w:b/>
          <w:lang w:val="id-ID"/>
        </w:rPr>
      </w:pPr>
      <w:r>
        <w:rPr>
          <w:b/>
          <w:lang w:val="id-ID"/>
        </w:rPr>
        <w:t>S1 Kebidanan</w:t>
      </w:r>
    </w:p>
    <w:p w:rsidR="0077555D" w:rsidRPr="0054438B" w:rsidRDefault="0077555D" w:rsidP="0054438B">
      <w:pPr>
        <w:jc w:val="both"/>
        <w:rPr>
          <w:b/>
          <w:vertAlign w:val="superscript"/>
          <w:lang w:val="id-ID"/>
        </w:rPr>
      </w:pPr>
      <w:r w:rsidRPr="0054438B">
        <w:rPr>
          <w:b/>
          <w:lang w:val="id-ID"/>
        </w:rPr>
        <w:t>Universitas Adiwangsa Jambi</w:t>
      </w:r>
    </w:p>
    <w:p w:rsidR="0077555D" w:rsidRPr="0077555D" w:rsidRDefault="0077555D" w:rsidP="0077555D">
      <w:pPr>
        <w:jc w:val="center"/>
        <w:rPr>
          <w:vertAlign w:val="superscript"/>
          <w:lang w:val="id-ID"/>
        </w:rPr>
      </w:pPr>
    </w:p>
    <w:p w:rsidR="0085472E" w:rsidRPr="0077555D" w:rsidRDefault="0085472E" w:rsidP="0085472E">
      <w:pPr>
        <w:rPr>
          <w:lang w:val="id-ID"/>
        </w:rPr>
      </w:pPr>
    </w:p>
    <w:p w:rsidR="00892FA3" w:rsidRPr="00754142" w:rsidRDefault="00892FA3" w:rsidP="00892FA3">
      <w:pPr>
        <w:pStyle w:val="NoSpacing"/>
        <w:ind w:firstLine="720"/>
        <w:jc w:val="both"/>
        <w:rPr>
          <w:rFonts w:ascii="Times New Roman" w:hAnsi="Times New Roman" w:cs="Times New Roman"/>
          <w:sz w:val="24"/>
          <w:szCs w:val="24"/>
          <w:lang w:val="id-ID"/>
        </w:rPr>
      </w:pPr>
    </w:p>
    <w:p w:rsidR="0085472E" w:rsidRPr="00754142" w:rsidRDefault="0085472E" w:rsidP="0085472E">
      <w:pPr>
        <w:rPr>
          <w:b/>
          <w:lang w:val="id-ID"/>
        </w:rPr>
      </w:pPr>
      <w:r w:rsidRPr="00754142">
        <w:rPr>
          <w:b/>
          <w:lang w:val="id-ID"/>
        </w:rPr>
        <w:t>ABSTRAK</w:t>
      </w:r>
    </w:p>
    <w:p w:rsidR="009C776B" w:rsidRPr="00754142" w:rsidRDefault="009C776B" w:rsidP="009C776B">
      <w:pPr>
        <w:pStyle w:val="NoSpacing"/>
        <w:jc w:val="both"/>
        <w:rPr>
          <w:rFonts w:ascii="Times New Roman" w:hAnsi="Times New Roman" w:cs="Times New Roman"/>
          <w:sz w:val="24"/>
          <w:szCs w:val="24"/>
        </w:rPr>
      </w:pPr>
      <w:proofErr w:type="gramStart"/>
      <w:r w:rsidRPr="00754142">
        <w:rPr>
          <w:rFonts w:ascii="Times New Roman" w:hAnsi="Times New Roman" w:cs="Times New Roman"/>
          <w:sz w:val="24"/>
          <w:szCs w:val="24"/>
        </w:rPr>
        <w:t>Setiap 6 menit terdapat satu bayi baru lahir yang meninggal.</w:t>
      </w:r>
      <w:proofErr w:type="gramEnd"/>
      <w:r w:rsidRPr="00754142">
        <w:rPr>
          <w:rFonts w:ascii="Times New Roman" w:hAnsi="Times New Roman" w:cs="Times New Roman"/>
          <w:sz w:val="24"/>
          <w:szCs w:val="24"/>
        </w:rPr>
        <w:t xml:space="preserve"> Penyebab terbesar kematian bayi baru lahir yaitu bayi berat lahir rendah (29%), asfiksia (27%) trauma lahir, ikterus neonatorium, infeksi lain dan kelainan kongenital dibanding dengan penyebab lainnya. </w:t>
      </w:r>
      <w:proofErr w:type="gramStart"/>
      <w:r w:rsidRPr="00754142">
        <w:rPr>
          <w:rFonts w:ascii="Times New Roman" w:hAnsi="Times New Roman" w:cs="Times New Roman"/>
          <w:sz w:val="24"/>
          <w:szCs w:val="24"/>
        </w:rPr>
        <w:t xml:space="preserve">Penelitian ini bertujuan </w:t>
      </w:r>
      <w:r w:rsidRPr="00754142">
        <w:rPr>
          <w:rFonts w:ascii="Times New Roman" w:hAnsi="Times New Roman" w:cs="Times New Roman"/>
          <w:sz w:val="24"/>
          <w:szCs w:val="24"/>
          <w:lang w:val="id-ID" w:eastAsia="id-ID"/>
        </w:rPr>
        <w:t xml:space="preserve">untuk mengetahui </w:t>
      </w:r>
      <w:r w:rsidRPr="00754142">
        <w:rPr>
          <w:rFonts w:ascii="Times New Roman" w:hAnsi="Times New Roman" w:cs="Times New Roman"/>
          <w:sz w:val="24"/>
          <w:szCs w:val="24"/>
        </w:rPr>
        <w:t>Hubungan Antara Umur, Paritas Dan Anemia dengan Kejadian Berat Badan Lahir Rendah (BBLR) di RSUD Raden Mattaher Jambi Tahun 2016 - 2017.</w:t>
      </w:r>
      <w:proofErr w:type="gramEnd"/>
    </w:p>
    <w:p w:rsidR="009C776B" w:rsidRPr="00754142" w:rsidRDefault="009C776B" w:rsidP="009C776B">
      <w:pPr>
        <w:pStyle w:val="NoSpacing"/>
        <w:jc w:val="both"/>
        <w:rPr>
          <w:rFonts w:ascii="Times New Roman" w:hAnsi="Times New Roman" w:cs="Times New Roman"/>
          <w:sz w:val="24"/>
          <w:szCs w:val="24"/>
        </w:rPr>
      </w:pPr>
      <w:r w:rsidRPr="00754142">
        <w:rPr>
          <w:rFonts w:ascii="Times New Roman" w:hAnsi="Times New Roman" w:cs="Times New Roman"/>
          <w:sz w:val="24"/>
          <w:szCs w:val="24"/>
          <w:lang w:val="id-ID" w:eastAsia="id-ID"/>
        </w:rPr>
        <w:t xml:space="preserve">Penelitian ini merupakan penelitian </w:t>
      </w:r>
      <w:r w:rsidRPr="00754142">
        <w:rPr>
          <w:rFonts w:ascii="Times New Roman" w:hAnsi="Times New Roman" w:cs="Times New Roman"/>
          <w:i/>
          <w:sz w:val="24"/>
          <w:szCs w:val="24"/>
          <w:lang w:eastAsia="id-ID"/>
        </w:rPr>
        <w:t>case control</w:t>
      </w:r>
      <w:r w:rsidRPr="00754142">
        <w:rPr>
          <w:rFonts w:ascii="Times New Roman" w:hAnsi="Times New Roman" w:cs="Times New Roman"/>
          <w:sz w:val="24"/>
          <w:szCs w:val="24"/>
          <w:lang w:val="id-ID"/>
        </w:rPr>
        <w:t xml:space="preserve">. Populasi dalam penelitian ini </w:t>
      </w:r>
      <w:r w:rsidRPr="00754142">
        <w:rPr>
          <w:rFonts w:ascii="Times New Roman" w:hAnsi="Times New Roman" w:cs="Times New Roman"/>
          <w:sz w:val="24"/>
          <w:szCs w:val="24"/>
        </w:rPr>
        <w:t>terbagi menjadi dua kelompok yaitu kelompok kasus adalah seluruh bayi baru lahir dengan BBLR pada tahun 2016-2017 sebanyak 30 orang dan kelompok kontrol adalah seluruh bayi baru lahir dengan berat  badan lahir normal tahun 2016-2017 sebanyak 343 orang.</w:t>
      </w:r>
      <w:r w:rsidRPr="00754142">
        <w:rPr>
          <w:rFonts w:ascii="Times New Roman" w:hAnsi="Times New Roman" w:cs="Times New Roman"/>
          <w:sz w:val="24"/>
          <w:szCs w:val="24"/>
          <w:lang w:val="id-ID"/>
        </w:rPr>
        <w:t xml:space="preserve"> Sampel dalam penelitian ini </w:t>
      </w:r>
      <w:r w:rsidRPr="00754142">
        <w:rPr>
          <w:rFonts w:ascii="Times New Roman" w:hAnsi="Times New Roman" w:cs="Times New Roman"/>
          <w:sz w:val="24"/>
          <w:szCs w:val="24"/>
        </w:rPr>
        <w:t xml:space="preserve">masing – masing sebanyak 30 orang yang diambil dengan teknik </w:t>
      </w:r>
      <w:r w:rsidRPr="00754142">
        <w:rPr>
          <w:rFonts w:ascii="Times New Roman" w:hAnsi="Times New Roman" w:cs="Times New Roman"/>
          <w:i/>
          <w:sz w:val="24"/>
          <w:szCs w:val="24"/>
        </w:rPr>
        <w:t>total sampling</w:t>
      </w:r>
      <w:r w:rsidRPr="00754142">
        <w:rPr>
          <w:rFonts w:ascii="Times New Roman" w:hAnsi="Times New Roman" w:cs="Times New Roman"/>
          <w:sz w:val="24"/>
          <w:szCs w:val="24"/>
        </w:rPr>
        <w:t xml:space="preserve"> dan </w:t>
      </w:r>
      <w:r w:rsidRPr="00754142">
        <w:rPr>
          <w:rFonts w:ascii="Times New Roman" w:hAnsi="Times New Roman" w:cs="Times New Roman"/>
          <w:i/>
          <w:sz w:val="24"/>
          <w:szCs w:val="24"/>
        </w:rPr>
        <w:t>purposive</w:t>
      </w:r>
      <w:r w:rsidRPr="00754142">
        <w:rPr>
          <w:rFonts w:ascii="Times New Roman" w:hAnsi="Times New Roman" w:cs="Times New Roman"/>
          <w:i/>
          <w:sz w:val="24"/>
          <w:szCs w:val="24"/>
          <w:lang w:val="id-ID"/>
        </w:rPr>
        <w:t xml:space="preserve"> sampling</w:t>
      </w:r>
      <w:r w:rsidRPr="00754142">
        <w:rPr>
          <w:rFonts w:ascii="Times New Roman" w:hAnsi="Times New Roman" w:cs="Times New Roman"/>
          <w:sz w:val="24"/>
          <w:szCs w:val="24"/>
          <w:lang w:val="id-ID"/>
        </w:rPr>
        <w:t>. Penelitian ini dilaksanakan pada tanggal</w:t>
      </w:r>
      <w:r w:rsidRPr="00754142">
        <w:rPr>
          <w:rFonts w:ascii="Times New Roman" w:hAnsi="Times New Roman" w:cs="Times New Roman"/>
          <w:sz w:val="24"/>
          <w:szCs w:val="24"/>
        </w:rPr>
        <w:t xml:space="preserve"> 08-23 Mei 2018</w:t>
      </w:r>
      <w:r w:rsidRPr="00754142">
        <w:rPr>
          <w:rFonts w:ascii="Times New Roman" w:hAnsi="Times New Roman" w:cs="Times New Roman"/>
          <w:sz w:val="24"/>
          <w:szCs w:val="24"/>
          <w:lang w:val="id-ID"/>
        </w:rPr>
        <w:t xml:space="preserve"> di </w:t>
      </w:r>
      <w:r w:rsidRPr="00754142">
        <w:rPr>
          <w:rFonts w:ascii="Times New Roman" w:hAnsi="Times New Roman" w:cs="Times New Roman"/>
          <w:sz w:val="24"/>
          <w:szCs w:val="24"/>
        </w:rPr>
        <w:t>RSUD Raden Mattaher</w:t>
      </w:r>
      <w:r w:rsidRPr="00754142">
        <w:rPr>
          <w:rFonts w:ascii="Times New Roman" w:hAnsi="Times New Roman" w:cs="Times New Roman"/>
          <w:sz w:val="24"/>
          <w:szCs w:val="24"/>
          <w:lang w:val="id-ID"/>
        </w:rPr>
        <w:t xml:space="preserve"> Jambi. Data dianalisis secara univariat </w:t>
      </w:r>
      <w:r w:rsidRPr="00754142">
        <w:rPr>
          <w:rFonts w:ascii="Times New Roman" w:hAnsi="Times New Roman" w:cs="Times New Roman"/>
          <w:sz w:val="24"/>
          <w:szCs w:val="24"/>
        </w:rPr>
        <w:t xml:space="preserve">dan bivariat dengan uji statistik </w:t>
      </w:r>
      <w:r w:rsidRPr="00754142">
        <w:rPr>
          <w:rFonts w:ascii="Times New Roman" w:hAnsi="Times New Roman" w:cs="Times New Roman"/>
          <w:i/>
          <w:sz w:val="24"/>
          <w:szCs w:val="24"/>
        </w:rPr>
        <w:t>chi square</w:t>
      </w:r>
      <w:r w:rsidRPr="00754142">
        <w:rPr>
          <w:rFonts w:ascii="Times New Roman" w:hAnsi="Times New Roman" w:cs="Times New Roman"/>
          <w:sz w:val="24"/>
          <w:szCs w:val="24"/>
        </w:rPr>
        <w:t>.</w:t>
      </w:r>
    </w:p>
    <w:p w:rsidR="009C776B" w:rsidRPr="00754142" w:rsidRDefault="009C776B" w:rsidP="009C776B">
      <w:pPr>
        <w:pStyle w:val="NoSpacing"/>
        <w:jc w:val="both"/>
        <w:rPr>
          <w:rFonts w:ascii="Times New Roman" w:hAnsi="Times New Roman" w:cs="Times New Roman"/>
          <w:sz w:val="24"/>
          <w:szCs w:val="24"/>
        </w:rPr>
      </w:pPr>
      <w:r w:rsidRPr="00754142">
        <w:rPr>
          <w:rFonts w:ascii="Times New Roman" w:hAnsi="Times New Roman" w:cs="Times New Roman"/>
          <w:sz w:val="24"/>
          <w:szCs w:val="24"/>
          <w:lang w:val="id-ID"/>
        </w:rPr>
        <w:t xml:space="preserve">Hasil penelitian menunjukkan bahwa </w:t>
      </w:r>
      <w:r w:rsidRPr="00754142">
        <w:rPr>
          <w:rFonts w:ascii="Times New Roman" w:hAnsi="Times New Roman" w:cs="Times New Roman"/>
          <w:sz w:val="24"/>
          <w:szCs w:val="24"/>
        </w:rPr>
        <w:t xml:space="preserve">dari 60 responden,  46 responden (76,7%) memiliki umur berisiko, 33 responden (55%) memiliki paritas berisiko , 33 responden (55%) tidak mengalami anemia dan 30 responden (50%) dengan BBLR. Tidak ada hubungan umur dengan kejadian BBLR karena nilai p </w:t>
      </w:r>
      <w:r w:rsidRPr="00754142">
        <w:rPr>
          <w:rFonts w:ascii="Times New Roman" w:hAnsi="Times New Roman" w:cs="Times New Roman"/>
          <w:i/>
          <w:sz w:val="24"/>
          <w:szCs w:val="24"/>
        </w:rPr>
        <w:t>value</w:t>
      </w:r>
      <w:r w:rsidRPr="00754142">
        <w:rPr>
          <w:rFonts w:ascii="Times New Roman" w:hAnsi="Times New Roman" w:cs="Times New Roman"/>
          <w:sz w:val="24"/>
          <w:szCs w:val="24"/>
        </w:rPr>
        <w:t xml:space="preserve"> (0,360) &gt; 0</w:t>
      </w:r>
      <w:proofErr w:type="gramStart"/>
      <w:r w:rsidRPr="00754142">
        <w:rPr>
          <w:rFonts w:ascii="Times New Roman" w:hAnsi="Times New Roman" w:cs="Times New Roman"/>
          <w:sz w:val="24"/>
          <w:szCs w:val="24"/>
        </w:rPr>
        <w:t>,05</w:t>
      </w:r>
      <w:proofErr w:type="gramEnd"/>
      <w:r w:rsidRPr="00754142">
        <w:rPr>
          <w:rFonts w:ascii="Times New Roman" w:hAnsi="Times New Roman" w:cs="Times New Roman"/>
          <w:sz w:val="24"/>
          <w:szCs w:val="24"/>
        </w:rPr>
        <w:t xml:space="preserve">. Ada hubungan paritas (p=0,009) dan anemia (0,038) dengan kejadian BBLR karena nilai p </w:t>
      </w:r>
      <w:proofErr w:type="gramStart"/>
      <w:r w:rsidRPr="00754142">
        <w:rPr>
          <w:rFonts w:ascii="Times New Roman" w:hAnsi="Times New Roman" w:cs="Times New Roman"/>
          <w:i/>
          <w:sz w:val="24"/>
          <w:szCs w:val="24"/>
        </w:rPr>
        <w:t>value</w:t>
      </w:r>
      <w:r w:rsidRPr="00754142">
        <w:rPr>
          <w:rFonts w:ascii="Times New Roman" w:hAnsi="Times New Roman" w:cs="Times New Roman"/>
          <w:sz w:val="24"/>
          <w:szCs w:val="24"/>
        </w:rPr>
        <w:t xml:space="preserve">  &lt;</w:t>
      </w:r>
      <w:proofErr w:type="gramEnd"/>
      <w:r w:rsidRPr="00754142">
        <w:rPr>
          <w:rFonts w:ascii="Times New Roman" w:hAnsi="Times New Roman" w:cs="Times New Roman"/>
          <w:sz w:val="24"/>
          <w:szCs w:val="24"/>
        </w:rPr>
        <w:t xml:space="preserve"> 0,05.</w:t>
      </w:r>
    </w:p>
    <w:p w:rsidR="00A129DC" w:rsidRPr="00754142" w:rsidRDefault="009C776B" w:rsidP="009C776B">
      <w:pPr>
        <w:pStyle w:val="NoSpacing"/>
        <w:tabs>
          <w:tab w:val="left" w:pos="1980"/>
        </w:tabs>
        <w:jc w:val="both"/>
        <w:rPr>
          <w:rFonts w:ascii="Times New Roman" w:hAnsi="Times New Roman" w:cs="Times New Roman"/>
          <w:sz w:val="24"/>
          <w:szCs w:val="24"/>
          <w:lang w:val="id-ID"/>
        </w:rPr>
      </w:pPr>
      <w:r w:rsidRPr="00754142">
        <w:rPr>
          <w:rFonts w:ascii="Times New Roman" w:hAnsi="Times New Roman" w:cs="Times New Roman"/>
          <w:sz w:val="24"/>
          <w:szCs w:val="24"/>
          <w:lang w:val="id-ID"/>
        </w:rPr>
        <w:t xml:space="preserve">Diharapkan </w:t>
      </w:r>
      <w:r w:rsidRPr="00754142">
        <w:rPr>
          <w:rFonts w:ascii="Times New Roman" w:hAnsi="Times New Roman" w:cs="Times New Roman"/>
          <w:sz w:val="24"/>
          <w:szCs w:val="24"/>
        </w:rPr>
        <w:t xml:space="preserve">hasil penelitian ini dapat dijadikan </w:t>
      </w:r>
      <w:r w:rsidRPr="00754142">
        <w:rPr>
          <w:rFonts w:ascii="Times New Roman" w:hAnsi="Times New Roman" w:cs="Times New Roman"/>
          <w:sz w:val="24"/>
          <w:szCs w:val="24"/>
          <w:lang w:val="id-ID"/>
        </w:rPr>
        <w:t xml:space="preserve">sebagai gambaran dalam meningkatkan pelayanan kesehatan </w:t>
      </w:r>
      <w:r w:rsidRPr="00754142">
        <w:rPr>
          <w:rFonts w:ascii="Times New Roman" w:hAnsi="Times New Roman" w:cs="Times New Roman"/>
          <w:sz w:val="24"/>
          <w:szCs w:val="24"/>
        </w:rPr>
        <w:t>ibu dan anak khususnya dalam mencegah dan meninjau kembali faktor risiko dari BBLR.</w:t>
      </w:r>
    </w:p>
    <w:p w:rsidR="009C776B" w:rsidRPr="00754142" w:rsidRDefault="009C776B" w:rsidP="009C776B">
      <w:pPr>
        <w:pStyle w:val="NoSpacing"/>
        <w:tabs>
          <w:tab w:val="left" w:pos="1980"/>
        </w:tabs>
        <w:jc w:val="both"/>
        <w:rPr>
          <w:rFonts w:ascii="Times New Roman" w:hAnsi="Times New Roman" w:cs="Times New Roman"/>
          <w:b/>
          <w:i/>
          <w:sz w:val="24"/>
          <w:szCs w:val="24"/>
          <w:lang w:val="id-ID"/>
        </w:rPr>
      </w:pPr>
    </w:p>
    <w:p w:rsidR="009C776B" w:rsidRPr="00754142" w:rsidRDefault="000A7B70" w:rsidP="009C776B">
      <w:pPr>
        <w:pStyle w:val="NoSpacing"/>
        <w:tabs>
          <w:tab w:val="left" w:pos="1980"/>
        </w:tabs>
        <w:ind w:left="2160" w:hanging="2160"/>
        <w:jc w:val="both"/>
        <w:rPr>
          <w:rFonts w:ascii="Times New Roman" w:hAnsi="Times New Roman" w:cs="Times New Roman"/>
          <w:sz w:val="24"/>
          <w:szCs w:val="24"/>
        </w:rPr>
      </w:pPr>
      <w:r w:rsidRPr="00754142">
        <w:rPr>
          <w:rFonts w:ascii="Times New Roman" w:hAnsi="Times New Roman" w:cs="Times New Roman"/>
          <w:b/>
          <w:sz w:val="24"/>
          <w:szCs w:val="24"/>
          <w:lang w:val="id-ID"/>
        </w:rPr>
        <w:t>Kata Kunci</w:t>
      </w:r>
      <w:r w:rsidRPr="00754142">
        <w:rPr>
          <w:rFonts w:ascii="Times New Roman" w:hAnsi="Times New Roman" w:cs="Times New Roman"/>
          <w:sz w:val="24"/>
          <w:szCs w:val="24"/>
          <w:lang w:val="id-ID"/>
        </w:rPr>
        <w:t xml:space="preserve"> </w:t>
      </w:r>
      <w:r w:rsidR="009C776B" w:rsidRPr="00754142">
        <w:rPr>
          <w:rFonts w:ascii="Times New Roman" w:hAnsi="Times New Roman" w:cs="Times New Roman"/>
          <w:sz w:val="24"/>
          <w:szCs w:val="24"/>
          <w:lang w:val="id-ID"/>
        </w:rPr>
        <w:t xml:space="preserve">: </w:t>
      </w:r>
      <w:r w:rsidR="009C776B" w:rsidRPr="00754142">
        <w:rPr>
          <w:rFonts w:ascii="Times New Roman" w:hAnsi="Times New Roman" w:cs="Times New Roman"/>
          <w:sz w:val="24"/>
          <w:szCs w:val="24"/>
        </w:rPr>
        <w:t>Umur, Paritas, Anemia, Kejadian BBLR</w:t>
      </w:r>
    </w:p>
    <w:p w:rsidR="009C776B" w:rsidRPr="00754142" w:rsidRDefault="009C776B" w:rsidP="009C776B">
      <w:pPr>
        <w:pStyle w:val="NoSpacing"/>
        <w:tabs>
          <w:tab w:val="left" w:pos="1980"/>
        </w:tabs>
        <w:jc w:val="both"/>
        <w:rPr>
          <w:rFonts w:ascii="Times New Roman" w:hAnsi="Times New Roman" w:cs="Times New Roman"/>
          <w:b/>
          <w:i/>
          <w:sz w:val="24"/>
          <w:szCs w:val="24"/>
          <w:lang w:val="id-ID"/>
        </w:rPr>
      </w:pPr>
    </w:p>
    <w:p w:rsidR="0052763F" w:rsidRPr="00754142" w:rsidRDefault="0052763F" w:rsidP="0052763F">
      <w:pPr>
        <w:spacing w:line="276" w:lineRule="auto"/>
        <w:jc w:val="both"/>
        <w:rPr>
          <w:i/>
        </w:rPr>
      </w:pPr>
    </w:p>
    <w:p w:rsidR="0052763F" w:rsidRPr="00754142" w:rsidRDefault="0052763F" w:rsidP="0052763F">
      <w:pPr>
        <w:spacing w:line="276" w:lineRule="auto"/>
        <w:jc w:val="both"/>
        <w:rPr>
          <w:i/>
        </w:rPr>
      </w:pPr>
    </w:p>
    <w:p w:rsidR="0052763F" w:rsidRPr="00754142" w:rsidRDefault="0052763F" w:rsidP="0052763F">
      <w:pPr>
        <w:spacing w:line="276" w:lineRule="auto"/>
        <w:jc w:val="both"/>
        <w:rPr>
          <w:i/>
        </w:rPr>
      </w:pPr>
    </w:p>
    <w:p w:rsidR="00892FA3" w:rsidRPr="00754142" w:rsidRDefault="00892FA3" w:rsidP="00B7271E">
      <w:pPr>
        <w:spacing w:after="200" w:line="276" w:lineRule="auto"/>
        <w:jc w:val="both"/>
      </w:pPr>
    </w:p>
    <w:p w:rsidR="00A129DC" w:rsidRPr="00754142" w:rsidRDefault="00A129DC" w:rsidP="00B7271E">
      <w:pPr>
        <w:spacing w:after="200" w:line="276" w:lineRule="auto"/>
        <w:jc w:val="both"/>
        <w:sectPr w:rsidR="00A129DC" w:rsidRPr="00754142" w:rsidSect="00892FA3">
          <w:pgSz w:w="12240" w:h="15840"/>
          <w:pgMar w:top="1440" w:right="1440" w:bottom="1440" w:left="1440" w:header="720" w:footer="720" w:gutter="0"/>
          <w:cols w:space="720"/>
          <w:docGrid w:linePitch="360"/>
        </w:sectPr>
      </w:pPr>
    </w:p>
    <w:p w:rsidR="00596B5E" w:rsidRPr="00754142" w:rsidRDefault="00596B5E">
      <w:pPr>
        <w:spacing w:after="200" w:line="276" w:lineRule="auto"/>
        <w:rPr>
          <w:b/>
        </w:rPr>
      </w:pPr>
      <w:r w:rsidRPr="00754142">
        <w:rPr>
          <w:b/>
        </w:rPr>
        <w:lastRenderedPageBreak/>
        <w:br w:type="page"/>
      </w:r>
    </w:p>
    <w:p w:rsidR="007429DF" w:rsidRPr="00754142" w:rsidRDefault="00B7271E" w:rsidP="007429DF">
      <w:pPr>
        <w:rPr>
          <w:b/>
        </w:rPr>
      </w:pPr>
      <w:r w:rsidRPr="00754142">
        <w:rPr>
          <w:b/>
        </w:rPr>
        <w:lastRenderedPageBreak/>
        <w:t>PENDAHULUAN</w:t>
      </w:r>
    </w:p>
    <w:p w:rsidR="000A7B70" w:rsidRPr="00754142" w:rsidRDefault="000A7B70" w:rsidP="000A7B70">
      <w:pPr>
        <w:pStyle w:val="ListParagraph"/>
        <w:spacing w:line="240" w:lineRule="auto"/>
        <w:ind w:left="0" w:firstLine="720"/>
        <w:jc w:val="both"/>
        <w:rPr>
          <w:rFonts w:ascii="Times New Roman" w:hAnsi="Times New Roman" w:cs="Times New Roman"/>
          <w:sz w:val="24"/>
          <w:szCs w:val="24"/>
          <w:lang w:val="en-US"/>
        </w:rPr>
      </w:pPr>
      <w:proofErr w:type="gramStart"/>
      <w:r w:rsidRPr="00754142">
        <w:rPr>
          <w:rFonts w:ascii="Times New Roman" w:hAnsi="Times New Roman" w:cs="Times New Roman"/>
          <w:sz w:val="24"/>
          <w:szCs w:val="24"/>
          <w:lang w:val="en-US"/>
        </w:rPr>
        <w:t>Masalah bayi dengan Berat Badan Lahir Rendah (kurang dari 2500 gram) penting diperhatikan karena sangat erat berkaitan dengan kelangsungan hidup bayi tersebut selanjutnya.</w:t>
      </w:r>
      <w:proofErr w:type="gramEnd"/>
      <w:r w:rsidRPr="00754142">
        <w:rPr>
          <w:rFonts w:ascii="Times New Roman" w:hAnsi="Times New Roman" w:cs="Times New Roman"/>
          <w:sz w:val="24"/>
          <w:szCs w:val="24"/>
          <w:lang w:val="en-US"/>
        </w:rPr>
        <w:t xml:space="preserve"> Bayi Berat Lahir Rendah (BBLR) </w:t>
      </w:r>
      <w:proofErr w:type="gramStart"/>
      <w:r w:rsidRPr="00754142">
        <w:rPr>
          <w:rFonts w:ascii="Times New Roman" w:hAnsi="Times New Roman" w:cs="Times New Roman"/>
          <w:sz w:val="24"/>
          <w:szCs w:val="24"/>
          <w:lang w:val="en-US"/>
        </w:rPr>
        <w:t>akan</w:t>
      </w:r>
      <w:proofErr w:type="gramEnd"/>
      <w:r w:rsidRPr="00754142">
        <w:rPr>
          <w:rFonts w:ascii="Times New Roman" w:hAnsi="Times New Roman" w:cs="Times New Roman"/>
          <w:sz w:val="24"/>
          <w:szCs w:val="24"/>
          <w:lang w:val="en-US"/>
        </w:rPr>
        <w:t xml:space="preserve"> mengakibatkan risiko morbiditas dan mortalitas bayi karena rentan terhadap kondisi-kondisi infeksi saluran pernafasan bagian bawah, gangguan belajar, masalah perilaku kesehatan, dan lain sebagainya (Amiruddin, 2014).</w:t>
      </w:r>
    </w:p>
    <w:p w:rsidR="000A7B70" w:rsidRPr="00754142" w:rsidRDefault="000A7B70" w:rsidP="000A7B70">
      <w:pPr>
        <w:pStyle w:val="ListParagraph"/>
        <w:spacing w:line="240" w:lineRule="auto"/>
        <w:ind w:left="0" w:firstLine="720"/>
        <w:jc w:val="both"/>
        <w:rPr>
          <w:rFonts w:ascii="Times New Roman" w:hAnsi="Times New Roman" w:cs="Times New Roman"/>
          <w:sz w:val="24"/>
          <w:szCs w:val="24"/>
          <w:lang w:val="en-US"/>
        </w:rPr>
      </w:pPr>
      <w:r w:rsidRPr="00754142">
        <w:rPr>
          <w:rFonts w:ascii="Times New Roman" w:hAnsi="Times New Roman" w:cs="Times New Roman"/>
          <w:sz w:val="24"/>
          <w:szCs w:val="24"/>
          <w:lang w:val="en-US"/>
        </w:rPr>
        <w:t xml:space="preserve">Menurut laporan dari </w:t>
      </w:r>
      <w:r w:rsidRPr="00754142">
        <w:rPr>
          <w:rFonts w:ascii="Times New Roman" w:hAnsi="Times New Roman" w:cs="Times New Roman"/>
          <w:i/>
          <w:sz w:val="24"/>
          <w:szCs w:val="24"/>
          <w:lang w:val="en-US"/>
        </w:rPr>
        <w:t>World Health Organization</w:t>
      </w:r>
      <w:r w:rsidRPr="00754142">
        <w:rPr>
          <w:rFonts w:ascii="Times New Roman" w:hAnsi="Times New Roman" w:cs="Times New Roman"/>
          <w:sz w:val="24"/>
          <w:szCs w:val="24"/>
          <w:lang w:val="en-US"/>
        </w:rPr>
        <w:t xml:space="preserve"> (WHO) tahun 2010, bahwa setiap tahunnya, kira-kira 3% (3</w:t>
      </w:r>
      <w:proofErr w:type="gramStart"/>
      <w:r w:rsidRPr="00754142">
        <w:rPr>
          <w:rFonts w:ascii="Times New Roman" w:hAnsi="Times New Roman" w:cs="Times New Roman"/>
          <w:sz w:val="24"/>
          <w:szCs w:val="24"/>
          <w:lang w:val="en-US"/>
        </w:rPr>
        <w:t>,6</w:t>
      </w:r>
      <w:proofErr w:type="gramEnd"/>
      <w:r w:rsidRPr="00754142">
        <w:rPr>
          <w:rFonts w:ascii="Times New Roman" w:hAnsi="Times New Roman" w:cs="Times New Roman"/>
          <w:sz w:val="24"/>
          <w:szCs w:val="24"/>
          <w:lang w:val="en-US"/>
        </w:rPr>
        <w:t xml:space="preserve"> juta) bayi meninggal di Indonesia. </w:t>
      </w:r>
      <w:proofErr w:type="gramStart"/>
      <w:r w:rsidRPr="00754142">
        <w:rPr>
          <w:rFonts w:ascii="Times New Roman" w:hAnsi="Times New Roman" w:cs="Times New Roman"/>
          <w:sz w:val="24"/>
          <w:szCs w:val="24"/>
          <w:lang w:val="en-US"/>
        </w:rPr>
        <w:t>Dari seluruh kematian bayi, sebanyak 57% meninggal pada masa bayi baru lahir.</w:t>
      </w:r>
      <w:proofErr w:type="gramEnd"/>
      <w:r w:rsidRPr="00754142">
        <w:rPr>
          <w:rFonts w:ascii="Times New Roman" w:hAnsi="Times New Roman" w:cs="Times New Roman"/>
          <w:sz w:val="24"/>
          <w:szCs w:val="24"/>
          <w:lang w:val="en-US"/>
        </w:rPr>
        <w:t xml:space="preserve"> </w:t>
      </w:r>
      <w:proofErr w:type="gramStart"/>
      <w:r w:rsidRPr="00754142">
        <w:rPr>
          <w:rFonts w:ascii="Times New Roman" w:hAnsi="Times New Roman" w:cs="Times New Roman"/>
          <w:sz w:val="24"/>
          <w:szCs w:val="24"/>
          <w:lang w:val="en-US"/>
        </w:rPr>
        <w:t>Setiap 6 menit terdapat satu bayi baru lahir yang meninggal.</w:t>
      </w:r>
      <w:proofErr w:type="gramEnd"/>
      <w:r w:rsidRPr="00754142">
        <w:rPr>
          <w:rFonts w:ascii="Times New Roman" w:hAnsi="Times New Roman" w:cs="Times New Roman"/>
          <w:sz w:val="24"/>
          <w:szCs w:val="24"/>
          <w:lang w:val="en-US"/>
        </w:rPr>
        <w:t xml:space="preserve"> Penyebab terbesar kematian bayi baru lahir yaitu bayi berat lahir rendah (29%), asfiksia (27%) trauma lahir, ikterus neonatorium, infeksi lain da kelainan kongenital dibanding dengan penyebab lainnya. </w:t>
      </w:r>
    </w:p>
    <w:p w:rsidR="000A7B70" w:rsidRPr="00754142" w:rsidRDefault="000A7B70" w:rsidP="000A7B70">
      <w:pPr>
        <w:pStyle w:val="ListParagraph"/>
        <w:spacing w:line="240" w:lineRule="auto"/>
        <w:ind w:left="0" w:firstLine="720"/>
        <w:jc w:val="both"/>
        <w:rPr>
          <w:rFonts w:ascii="Times New Roman" w:hAnsi="Times New Roman" w:cs="Times New Roman"/>
          <w:sz w:val="24"/>
          <w:szCs w:val="24"/>
        </w:rPr>
      </w:pPr>
      <w:r w:rsidRPr="00754142">
        <w:rPr>
          <w:rFonts w:ascii="Times New Roman" w:hAnsi="Times New Roman" w:cs="Times New Roman"/>
          <w:sz w:val="24"/>
          <w:szCs w:val="24"/>
        </w:rPr>
        <w:t xml:space="preserve">Hasil Riset Kesehatan Dasar (Riskesdas) </w:t>
      </w:r>
      <w:r w:rsidRPr="00754142">
        <w:rPr>
          <w:rFonts w:ascii="Times New Roman" w:hAnsi="Times New Roman" w:cs="Times New Roman"/>
          <w:sz w:val="24"/>
          <w:szCs w:val="24"/>
          <w:lang w:val="en-US" w:eastAsia="id-ID"/>
        </w:rPr>
        <w:t>tahun</w:t>
      </w:r>
      <w:r w:rsidRPr="00754142">
        <w:rPr>
          <w:rFonts w:ascii="Times New Roman" w:hAnsi="Times New Roman" w:cs="Times New Roman"/>
          <w:sz w:val="24"/>
          <w:szCs w:val="24"/>
        </w:rPr>
        <w:t xml:space="preserve"> 2013 menyatakan bahwa persentase balita (0-59 bulan) dengan BBLR di Indonesia sebesar 10,2%. Persentase BBLR tertinggi terdapat di Provinsi Sulawesi Tengah (16,8%) dan terendah di Sumatera Utara (7,2%). Sedangkan untuk Provinsi Jambi, prevalensi BBLR sebesar 8,3% (Kemenkes RI, 2014).</w:t>
      </w:r>
    </w:p>
    <w:p w:rsidR="000A7B70" w:rsidRPr="00754142" w:rsidRDefault="000A7B70" w:rsidP="000A7B70">
      <w:pPr>
        <w:autoSpaceDE w:val="0"/>
        <w:autoSpaceDN w:val="0"/>
        <w:adjustRightInd w:val="0"/>
        <w:ind w:firstLine="720"/>
        <w:jc w:val="both"/>
        <w:rPr>
          <w:rFonts w:eastAsiaTheme="minorHAnsi"/>
        </w:rPr>
      </w:pPr>
      <w:proofErr w:type="gramStart"/>
      <w:r w:rsidRPr="00754142">
        <w:rPr>
          <w:lang w:eastAsia="id-ID"/>
        </w:rPr>
        <w:t>Tingginya angka ibu hamil yang mengalami kurang gizi, seiring dengan hidup risiko tinggi untuk melahirkan bayi BBLR dibandingkan ibu hamil yang tidak menderita kekurangan gizi.</w:t>
      </w:r>
      <w:proofErr w:type="gramEnd"/>
      <w:r w:rsidRPr="00754142">
        <w:rPr>
          <w:lang w:eastAsia="id-ID"/>
        </w:rPr>
        <w:t xml:space="preserve"> Apabila tidak meninggal pada awal kelahiran, bayi BBLR </w:t>
      </w:r>
      <w:proofErr w:type="gramStart"/>
      <w:r w:rsidRPr="00754142">
        <w:rPr>
          <w:lang w:eastAsia="id-ID"/>
        </w:rPr>
        <w:t>akan</w:t>
      </w:r>
      <w:proofErr w:type="gramEnd"/>
      <w:r w:rsidRPr="00754142">
        <w:rPr>
          <w:lang w:eastAsia="id-ID"/>
        </w:rPr>
        <w:t xml:space="preserve"> tumbuh dan berkembang lebih lambat, terlebih lagi apabila mendapat ASI eksklusif yang kurang dan makanan pendamping ASI yang tidak cukup. </w:t>
      </w:r>
      <w:proofErr w:type="gramStart"/>
      <w:r w:rsidRPr="00754142">
        <w:rPr>
          <w:lang w:eastAsia="id-ID"/>
        </w:rPr>
        <w:t>Selain itu bayi cenderung mengalami hipotermi, asfiksia, dan kematian (Marmi, 2012).</w:t>
      </w:r>
      <w:proofErr w:type="gramEnd"/>
    </w:p>
    <w:p w:rsidR="000A7B70" w:rsidRPr="00754142" w:rsidRDefault="000A7B70" w:rsidP="000A7B70">
      <w:pPr>
        <w:autoSpaceDE w:val="0"/>
        <w:autoSpaceDN w:val="0"/>
        <w:adjustRightInd w:val="0"/>
        <w:ind w:firstLine="720"/>
        <w:jc w:val="both"/>
        <w:rPr>
          <w:rFonts w:eastAsiaTheme="minorHAnsi"/>
        </w:rPr>
      </w:pPr>
      <w:r w:rsidRPr="00754142">
        <w:rPr>
          <w:rFonts w:eastAsiaTheme="minorHAnsi"/>
        </w:rPr>
        <w:lastRenderedPageBreak/>
        <w:t xml:space="preserve">Penyebab bayi dengan berat badan lahir rendah antara lain berat badan ibu yang rendah, ibu hamil yang masih remaja, kehamilan kembar, ibu pernah melahirkan bayi prematur/ berat badan rendah sebelumnya, ibu dengan inkompeten servik, ibu hamil yang sedang sakit, ibu hamil dengan gizi buruk/kekurangan nutrisi, ibu dengan penyakit hipertensi, preeklamsia, anemia, ibu menderita penyakit kronis, ibu hamil dengan merokok dan penyalahgunaan obat. </w:t>
      </w:r>
      <w:proofErr w:type="gramStart"/>
      <w:r w:rsidRPr="00754142">
        <w:rPr>
          <w:rFonts w:eastAsiaTheme="minorHAnsi"/>
        </w:rPr>
        <w:t>Sedangkan faktor predisposisi dapat dilihat dari faktor ibu meliputi umur, jumlah paritas, penyakit kehamilan, gizi kurang atau malnutrisi, trauma, kelelahan, merokok, kehamilan yang tidak diinginkan, peminum alkohol, bekerja berasat masa hamil dan obat-obatan.</w:t>
      </w:r>
      <w:proofErr w:type="gramEnd"/>
      <w:r w:rsidRPr="00754142">
        <w:rPr>
          <w:rFonts w:eastAsiaTheme="minorHAnsi"/>
        </w:rPr>
        <w:t xml:space="preserve"> </w:t>
      </w:r>
      <w:proofErr w:type="gramStart"/>
      <w:r w:rsidRPr="00754142">
        <w:rPr>
          <w:rFonts w:eastAsiaTheme="minorHAnsi"/>
        </w:rPr>
        <w:t>Faktor plasenta meliputi insufisiensi atau disfungsi plasenta, penyakit vaskuler, kehamilan ganda, plasenta previa dan solusio plasenta.</w:t>
      </w:r>
      <w:proofErr w:type="gramEnd"/>
      <w:r w:rsidRPr="00754142">
        <w:rPr>
          <w:rFonts w:eastAsiaTheme="minorHAnsi"/>
        </w:rPr>
        <w:t xml:space="preserve"> </w:t>
      </w:r>
      <w:proofErr w:type="gramStart"/>
      <w:r w:rsidRPr="00754142">
        <w:rPr>
          <w:rFonts w:eastAsiaTheme="minorHAnsi"/>
        </w:rPr>
        <w:t>Sedangkan faktor janin meliputi kelainan bawaan, infeksi, faktor genetik atau kromosom, radiasi dan bahan toksik (Maryunani, 2013).</w:t>
      </w:r>
      <w:proofErr w:type="gramEnd"/>
    </w:p>
    <w:p w:rsidR="000A7B70" w:rsidRPr="00754142" w:rsidRDefault="000A7B70" w:rsidP="000A7B70">
      <w:pPr>
        <w:pStyle w:val="ListParagraph"/>
        <w:spacing w:line="240" w:lineRule="auto"/>
        <w:ind w:left="0" w:firstLine="720"/>
        <w:jc w:val="both"/>
        <w:rPr>
          <w:rFonts w:ascii="Times New Roman" w:hAnsi="Times New Roman" w:cs="Times New Roman"/>
          <w:sz w:val="24"/>
          <w:szCs w:val="24"/>
          <w:lang w:val="en-US"/>
        </w:rPr>
      </w:pPr>
      <w:proofErr w:type="gramStart"/>
      <w:r w:rsidRPr="00754142">
        <w:rPr>
          <w:rFonts w:ascii="Times New Roman" w:hAnsi="Times New Roman" w:cs="Times New Roman"/>
          <w:sz w:val="24"/>
          <w:szCs w:val="24"/>
          <w:lang w:val="en-US"/>
        </w:rPr>
        <w:t>Umur merupakan salah satu faktor BBLR yang berasal dari faktor ibu.</w:t>
      </w:r>
      <w:proofErr w:type="gramEnd"/>
      <w:r w:rsidRPr="00754142">
        <w:rPr>
          <w:rFonts w:ascii="Times New Roman" w:hAnsi="Times New Roman" w:cs="Times New Roman"/>
          <w:sz w:val="24"/>
          <w:szCs w:val="24"/>
          <w:lang w:val="en-US"/>
        </w:rPr>
        <w:t xml:space="preserve"> Kehamilan di bawah </w:t>
      </w:r>
      <w:proofErr w:type="gramStart"/>
      <w:r w:rsidRPr="00754142">
        <w:rPr>
          <w:rFonts w:ascii="Times New Roman" w:hAnsi="Times New Roman" w:cs="Times New Roman"/>
          <w:sz w:val="24"/>
          <w:szCs w:val="24"/>
          <w:lang w:val="en-US"/>
        </w:rPr>
        <w:t>usia</w:t>
      </w:r>
      <w:proofErr w:type="gramEnd"/>
      <w:r w:rsidRPr="00754142">
        <w:rPr>
          <w:rFonts w:ascii="Times New Roman" w:hAnsi="Times New Roman" w:cs="Times New Roman"/>
          <w:sz w:val="24"/>
          <w:szCs w:val="24"/>
          <w:lang w:val="en-US"/>
        </w:rPr>
        <w:t xml:space="preserve"> 20 </w:t>
      </w:r>
      <w:r w:rsidRPr="00754142">
        <w:rPr>
          <w:rFonts w:ascii="Times New Roman" w:hAnsi="Times New Roman" w:cs="Times New Roman"/>
          <w:sz w:val="24"/>
          <w:szCs w:val="24"/>
          <w:lang w:val="en-US" w:eastAsia="id-ID"/>
        </w:rPr>
        <w:t>tahun</w:t>
      </w:r>
      <w:r w:rsidRPr="00754142">
        <w:rPr>
          <w:rFonts w:ascii="Times New Roman" w:hAnsi="Times New Roman" w:cs="Times New Roman"/>
          <w:sz w:val="24"/>
          <w:szCs w:val="24"/>
          <w:lang w:val="en-US"/>
        </w:rPr>
        <w:t xml:space="preserve"> dapat menimbulkan banyak permasalahan karena bisa mempengaruhi tubuh seperti rahim bahkan bayi bisa prematur dan berat badan lahir kurang. </w:t>
      </w:r>
      <w:proofErr w:type="gramStart"/>
      <w:r w:rsidRPr="00754142">
        <w:rPr>
          <w:rFonts w:ascii="Times New Roman" w:hAnsi="Times New Roman" w:cs="Times New Roman"/>
          <w:sz w:val="24"/>
          <w:szCs w:val="24"/>
          <w:lang w:val="en-US"/>
        </w:rPr>
        <w:t>Hal ini disebabkan karena wanita yang hamil muda belum bisa memberikan suplai makanan dengan baik dari tubuhnya untuk janin di dalam rahimnya.</w:t>
      </w:r>
      <w:proofErr w:type="gramEnd"/>
      <w:r w:rsidRPr="00754142">
        <w:rPr>
          <w:rFonts w:ascii="Times New Roman" w:hAnsi="Times New Roman" w:cs="Times New Roman"/>
          <w:sz w:val="24"/>
          <w:szCs w:val="24"/>
          <w:lang w:val="en-US"/>
        </w:rPr>
        <w:t xml:space="preserve"> </w:t>
      </w:r>
      <w:proofErr w:type="gramStart"/>
      <w:r w:rsidRPr="00754142">
        <w:rPr>
          <w:rFonts w:ascii="Times New Roman" w:hAnsi="Times New Roman" w:cs="Times New Roman"/>
          <w:sz w:val="24"/>
          <w:szCs w:val="24"/>
          <w:lang w:val="en-US"/>
        </w:rPr>
        <w:t>B</w:t>
      </w:r>
      <w:r w:rsidRPr="00754142">
        <w:rPr>
          <w:rFonts w:ascii="Times New Roman" w:hAnsi="Times New Roman" w:cs="Times New Roman"/>
          <w:sz w:val="24"/>
          <w:szCs w:val="24"/>
          <w:lang w:eastAsia="id-ID"/>
        </w:rPr>
        <w:t xml:space="preserve">egitu juga sebaliknya dengan umur lebih dari 35 </w:t>
      </w:r>
      <w:r w:rsidRPr="00754142">
        <w:rPr>
          <w:rFonts w:ascii="Times New Roman" w:hAnsi="Times New Roman" w:cs="Times New Roman"/>
          <w:sz w:val="24"/>
          <w:szCs w:val="24"/>
          <w:lang w:val="en-US" w:eastAsia="id-ID"/>
        </w:rPr>
        <w:t>tahun</w:t>
      </w:r>
      <w:r w:rsidRPr="00754142">
        <w:rPr>
          <w:rFonts w:ascii="Times New Roman" w:hAnsi="Times New Roman" w:cs="Times New Roman"/>
          <w:sz w:val="24"/>
          <w:szCs w:val="24"/>
          <w:lang w:eastAsia="id-ID"/>
        </w:rPr>
        <w:t xml:space="preserve"> dianggap sudah terlalu tua untuk menanggung beban kehamilan.</w:t>
      </w:r>
      <w:proofErr w:type="gramEnd"/>
      <w:r w:rsidRPr="00754142">
        <w:rPr>
          <w:rFonts w:ascii="Times New Roman" w:hAnsi="Times New Roman" w:cs="Times New Roman"/>
          <w:sz w:val="24"/>
          <w:szCs w:val="24"/>
          <w:lang w:eastAsia="id-ID"/>
        </w:rPr>
        <w:t xml:space="preserve"> Selain umur, paritas satu dan lebih dari 4 berisiko terhadap terjadinya BBLR. Banyak anak yang dilahirkan memberi risiko melahirkan BBLR 0,57 kali diban</w:t>
      </w:r>
      <w:r w:rsidRPr="00754142">
        <w:rPr>
          <w:rFonts w:ascii="Times New Roman" w:hAnsi="Times New Roman" w:cs="Times New Roman"/>
          <w:sz w:val="24"/>
          <w:szCs w:val="24"/>
          <w:lang w:val="en-US" w:eastAsia="id-ID"/>
        </w:rPr>
        <w:t>dingkan</w:t>
      </w:r>
      <w:r w:rsidRPr="00754142">
        <w:rPr>
          <w:rFonts w:ascii="Times New Roman" w:hAnsi="Times New Roman" w:cs="Times New Roman"/>
          <w:sz w:val="24"/>
          <w:szCs w:val="24"/>
          <w:lang w:eastAsia="id-ID"/>
        </w:rPr>
        <w:t xml:space="preserve"> paritas 2-4</w:t>
      </w:r>
      <w:r w:rsidRPr="00754142">
        <w:rPr>
          <w:rFonts w:ascii="Times New Roman" w:hAnsi="Times New Roman" w:cs="Times New Roman"/>
          <w:sz w:val="24"/>
          <w:szCs w:val="24"/>
          <w:lang w:val="en-US" w:eastAsia="id-ID"/>
        </w:rPr>
        <w:t xml:space="preserve"> (Amiruddin, 2014)</w:t>
      </w:r>
      <w:r w:rsidRPr="00754142">
        <w:rPr>
          <w:rFonts w:ascii="Times New Roman" w:hAnsi="Times New Roman" w:cs="Times New Roman"/>
          <w:sz w:val="24"/>
          <w:szCs w:val="24"/>
          <w:lang w:eastAsia="id-ID"/>
        </w:rPr>
        <w:t>.</w:t>
      </w:r>
      <w:r w:rsidRPr="00754142">
        <w:rPr>
          <w:rFonts w:ascii="Times New Roman" w:hAnsi="Times New Roman" w:cs="Times New Roman"/>
          <w:sz w:val="24"/>
          <w:szCs w:val="24"/>
          <w:lang w:val="en-US" w:eastAsia="id-ID"/>
        </w:rPr>
        <w:t xml:space="preserve"> </w:t>
      </w:r>
    </w:p>
    <w:p w:rsidR="000A7B70" w:rsidRPr="00754142" w:rsidRDefault="000A7B70" w:rsidP="000A7B70">
      <w:pPr>
        <w:pStyle w:val="ListParagraph"/>
        <w:spacing w:line="240" w:lineRule="auto"/>
        <w:ind w:left="0" w:firstLine="720"/>
        <w:jc w:val="both"/>
        <w:rPr>
          <w:rFonts w:ascii="Times New Roman" w:hAnsi="Times New Roman" w:cs="Times New Roman"/>
          <w:sz w:val="24"/>
          <w:szCs w:val="24"/>
          <w:lang w:val="en-US"/>
        </w:rPr>
      </w:pPr>
      <w:r w:rsidRPr="00754142">
        <w:rPr>
          <w:rFonts w:ascii="Times New Roman" w:hAnsi="Times New Roman" w:cs="Times New Roman"/>
          <w:sz w:val="24"/>
          <w:szCs w:val="24"/>
        </w:rPr>
        <w:t xml:space="preserve">Paritas 1 dan lebih dari empat dianggap berisiko terhadap BBLR, hal ini terkait bahwa pada paritas 1 organ reproduksi belum cukup optimal untuk </w:t>
      </w:r>
      <w:r w:rsidRPr="00754142">
        <w:rPr>
          <w:rFonts w:ascii="Times New Roman" w:hAnsi="Times New Roman" w:cs="Times New Roman"/>
          <w:sz w:val="24"/>
          <w:szCs w:val="24"/>
        </w:rPr>
        <w:lastRenderedPageBreak/>
        <w:t>berkontraksi pada saat kehamilan, sementara paritas lebih dari 4 menyebabkan rahim mengalami kontraksi yang berlebihan dan fisiologi rahim yang kurang optimal untuk pertumbuhan janin</w:t>
      </w:r>
      <w:r w:rsidRPr="00754142">
        <w:rPr>
          <w:rFonts w:ascii="Times New Roman" w:hAnsi="Times New Roman" w:cs="Times New Roman"/>
          <w:sz w:val="24"/>
          <w:szCs w:val="24"/>
          <w:lang w:val="en-US"/>
        </w:rPr>
        <w:t xml:space="preserve">. </w:t>
      </w:r>
      <w:proofErr w:type="gramStart"/>
      <w:r w:rsidRPr="00754142">
        <w:rPr>
          <w:rFonts w:ascii="Times New Roman" w:hAnsi="Times New Roman" w:cs="Times New Roman"/>
          <w:sz w:val="24"/>
          <w:szCs w:val="24"/>
          <w:lang w:val="en-US" w:eastAsia="id-ID"/>
        </w:rPr>
        <w:t>A</w:t>
      </w:r>
      <w:r w:rsidRPr="00754142">
        <w:rPr>
          <w:rFonts w:ascii="Times New Roman" w:hAnsi="Times New Roman" w:cs="Times New Roman"/>
          <w:sz w:val="24"/>
          <w:szCs w:val="24"/>
        </w:rPr>
        <w:t>nemia juga dapat menyebabkan BBLR.</w:t>
      </w:r>
      <w:proofErr w:type="gramEnd"/>
      <w:r w:rsidRPr="00754142">
        <w:rPr>
          <w:rFonts w:ascii="Times New Roman" w:hAnsi="Times New Roman" w:cs="Times New Roman"/>
          <w:sz w:val="24"/>
          <w:szCs w:val="24"/>
        </w:rPr>
        <w:t xml:space="preserve"> Apabila kadar Hb kurang dalam darah berarti kemampuan darah dalam mengikat dan membawa oksigen akan berkurang, demikian pula zat-zat nutrisi yang dibawa oleh sel-sel darah merah juga akan berkurang. Keadaan ini menyebabkan janin juga kekurangan zat makanan dan oksigen sehingga janin mengalami gangguan pertumbuhan dan pada waktu lahir bayi tersebut dengan berat badan rendah (Amiruddin, 2014).  </w:t>
      </w:r>
    </w:p>
    <w:p w:rsidR="000A7B70" w:rsidRPr="00754142" w:rsidRDefault="000A7B70" w:rsidP="000A7B70">
      <w:pPr>
        <w:pStyle w:val="ListParagraph"/>
        <w:spacing w:line="240" w:lineRule="auto"/>
        <w:ind w:left="0" w:firstLine="720"/>
        <w:jc w:val="both"/>
        <w:rPr>
          <w:rFonts w:ascii="Times New Roman" w:hAnsi="Times New Roman" w:cs="Times New Roman"/>
          <w:sz w:val="24"/>
          <w:szCs w:val="24"/>
        </w:rPr>
      </w:pPr>
      <w:proofErr w:type="gramStart"/>
      <w:r w:rsidRPr="00754142">
        <w:rPr>
          <w:rFonts w:ascii="Times New Roman" w:hAnsi="Times New Roman" w:cs="Times New Roman"/>
          <w:sz w:val="24"/>
          <w:szCs w:val="24"/>
          <w:lang w:val="en-US"/>
        </w:rPr>
        <w:t>Data yang diperoleh dari RSUD Raden Mattaher Jambi diketahui jumlah BBLR dari tahun 2015 – 2017.</w:t>
      </w:r>
      <w:proofErr w:type="gramEnd"/>
      <w:r w:rsidRPr="00754142">
        <w:rPr>
          <w:rFonts w:ascii="Times New Roman" w:hAnsi="Times New Roman" w:cs="Times New Roman"/>
          <w:sz w:val="24"/>
          <w:szCs w:val="24"/>
          <w:lang w:val="en-US"/>
        </w:rPr>
        <w:t xml:space="preserve"> Pada tahun 2015 sebanyak 3 kasus BBLR, pada tahun 2016 </w:t>
      </w:r>
      <w:proofErr w:type="gramStart"/>
      <w:r w:rsidRPr="00754142">
        <w:rPr>
          <w:rFonts w:ascii="Times New Roman" w:hAnsi="Times New Roman" w:cs="Times New Roman"/>
          <w:sz w:val="24"/>
          <w:szCs w:val="24"/>
          <w:lang w:val="en-US"/>
        </w:rPr>
        <w:t xml:space="preserve">sebanyak </w:t>
      </w:r>
      <w:r w:rsidRPr="00754142">
        <w:rPr>
          <w:rFonts w:ascii="Times New Roman" w:hAnsi="Times New Roman" w:cs="Times New Roman"/>
          <w:sz w:val="24"/>
          <w:szCs w:val="24"/>
        </w:rPr>
        <w:t xml:space="preserve"> </w:t>
      </w:r>
      <w:r w:rsidRPr="00754142">
        <w:rPr>
          <w:rFonts w:ascii="Times New Roman" w:hAnsi="Times New Roman" w:cs="Times New Roman"/>
          <w:sz w:val="24"/>
          <w:szCs w:val="24"/>
          <w:lang w:val="en-US"/>
        </w:rPr>
        <w:t>11</w:t>
      </w:r>
      <w:proofErr w:type="gramEnd"/>
      <w:r w:rsidRPr="00754142">
        <w:rPr>
          <w:rFonts w:ascii="Times New Roman" w:hAnsi="Times New Roman" w:cs="Times New Roman"/>
          <w:sz w:val="24"/>
          <w:szCs w:val="24"/>
          <w:lang w:val="en-US"/>
        </w:rPr>
        <w:t xml:space="preserve"> kasus BBLR. </w:t>
      </w:r>
      <w:proofErr w:type="gramStart"/>
      <w:r w:rsidRPr="00754142">
        <w:rPr>
          <w:rFonts w:ascii="Times New Roman" w:hAnsi="Times New Roman" w:cs="Times New Roman"/>
          <w:sz w:val="24"/>
          <w:szCs w:val="24"/>
          <w:lang w:val="en-US"/>
        </w:rPr>
        <w:t>Sedangkan pada tahun 2017 mengalami peningkatan menjadi 19 kasus BBLR.</w:t>
      </w:r>
      <w:proofErr w:type="gramEnd"/>
      <w:r w:rsidRPr="00754142">
        <w:rPr>
          <w:rFonts w:ascii="Times New Roman" w:hAnsi="Times New Roman" w:cs="Times New Roman"/>
          <w:sz w:val="24"/>
          <w:szCs w:val="24"/>
        </w:rPr>
        <w:t xml:space="preserve">                                                                                                                                                                                                                                                                                                                  </w:t>
      </w:r>
    </w:p>
    <w:p w:rsidR="00F201EF" w:rsidRPr="00754142" w:rsidRDefault="000A7B70" w:rsidP="000A7B70">
      <w:pPr>
        <w:pStyle w:val="ListParagraph"/>
        <w:spacing w:line="240" w:lineRule="auto"/>
        <w:ind w:left="0" w:firstLine="720"/>
        <w:jc w:val="both"/>
        <w:rPr>
          <w:rFonts w:ascii="Times New Roman" w:hAnsi="Times New Roman" w:cs="Times New Roman"/>
          <w:sz w:val="24"/>
          <w:szCs w:val="24"/>
        </w:rPr>
      </w:pPr>
      <w:r w:rsidRPr="00754142">
        <w:rPr>
          <w:rFonts w:ascii="Times New Roman" w:hAnsi="Times New Roman" w:cs="Times New Roman"/>
          <w:sz w:val="24"/>
          <w:szCs w:val="24"/>
        </w:rPr>
        <w:t xml:space="preserve">Berdasarkan latar belakang di atas, peneliti ingin melakukan penelitian dengan judul </w:t>
      </w:r>
      <w:r w:rsidRPr="00754142">
        <w:rPr>
          <w:rFonts w:ascii="Times New Roman" w:hAnsi="Times New Roman" w:cs="Times New Roman"/>
          <w:sz w:val="24"/>
          <w:szCs w:val="24"/>
          <w:lang w:val="en-US"/>
        </w:rPr>
        <w:t xml:space="preserve">“hubungan antara </w:t>
      </w:r>
      <w:r w:rsidRPr="00754142">
        <w:rPr>
          <w:rFonts w:ascii="Times New Roman" w:hAnsi="Times New Roman" w:cs="Times New Roman"/>
          <w:sz w:val="24"/>
          <w:szCs w:val="24"/>
        </w:rPr>
        <w:t>umur, paritas dan anemia dengan kejadian Berat Badan Lahir Rendah (BBLR) di RSUD Raden Mattaher Jambi Januari - Desember 2017”.</w:t>
      </w:r>
    </w:p>
    <w:p w:rsidR="007429DF" w:rsidRPr="00754142" w:rsidRDefault="00B7271E" w:rsidP="000A7B70">
      <w:pPr>
        <w:rPr>
          <w:b/>
        </w:rPr>
      </w:pPr>
      <w:r w:rsidRPr="00754142">
        <w:rPr>
          <w:b/>
        </w:rPr>
        <w:t>METODE PENELITIAN</w:t>
      </w:r>
    </w:p>
    <w:p w:rsidR="00F61350" w:rsidRPr="00754142" w:rsidRDefault="000A7B70" w:rsidP="000A7B70">
      <w:pPr>
        <w:jc w:val="both"/>
        <w:rPr>
          <w:b/>
          <w:lang w:val="id-ID"/>
        </w:rPr>
      </w:pPr>
      <w:r w:rsidRPr="00754142">
        <w:t xml:space="preserve">Penelitian ini merupakan penelitian analitik </w:t>
      </w:r>
      <w:r w:rsidRPr="00754142">
        <w:rPr>
          <w:lang w:val="id-ID"/>
        </w:rPr>
        <w:t xml:space="preserve">dengan </w:t>
      </w:r>
      <w:r w:rsidRPr="00754142">
        <w:t xml:space="preserve">pendekatan </w:t>
      </w:r>
      <w:r w:rsidRPr="00754142">
        <w:rPr>
          <w:i/>
        </w:rPr>
        <w:t>case control</w:t>
      </w:r>
      <w:r w:rsidRPr="00754142">
        <w:rPr>
          <w:lang w:val="id-ID"/>
        </w:rPr>
        <w:t xml:space="preserve">, </w:t>
      </w:r>
      <w:r w:rsidRPr="00754142">
        <w:t>yang bertujuan untuk mengetahui “Hubungan umur, paritas dan anemia dengan kejadian BBLR di RSUD Raden Mattaher Jambi Januari - Desember 2017”</w:t>
      </w:r>
      <w:r w:rsidRPr="00754142">
        <w:rPr>
          <w:lang w:val="id-ID"/>
        </w:rPr>
        <w:t>.</w:t>
      </w:r>
      <w:r w:rsidRPr="00754142">
        <w:t xml:space="preserve"> </w:t>
      </w:r>
      <w:r w:rsidRPr="00754142">
        <w:rPr>
          <w:lang w:val="id-ID"/>
        </w:rPr>
        <w:t xml:space="preserve">Populasi dalam penelitian ini adalah </w:t>
      </w:r>
      <w:r w:rsidRPr="00754142">
        <w:t xml:space="preserve">terbagi menjadi dua kelompok yaitu kelompok kasus adalah seluruh bayi baru lahir dengan BBLR pada tahun 2016-2017 sebanyak 30 orang dan kelompok kontrol adalah seluruh bayi baru lahir dengan berat  badan lahir normal tahun 2016-2017 sebanyak 343 orang. </w:t>
      </w:r>
      <w:proofErr w:type="gramStart"/>
      <w:r w:rsidRPr="00754142">
        <w:t xml:space="preserve">Sampel dalam penelitian ini diambil 1:1 yakni pada kelompok kasus sebanyak 30 orang yang diambil dengan teknik </w:t>
      </w:r>
      <w:r w:rsidRPr="00754142">
        <w:rPr>
          <w:i/>
        </w:rPr>
        <w:t>total sampling</w:t>
      </w:r>
      <w:r w:rsidRPr="00754142">
        <w:t xml:space="preserve">, </w:t>
      </w:r>
      <w:r w:rsidRPr="00754142">
        <w:lastRenderedPageBreak/>
        <w:t xml:space="preserve">sedangkan pada kelompok kontrol sampel penelitian sebanyak 30 orang yang diambil dengan teknik </w:t>
      </w:r>
      <w:r w:rsidRPr="00754142">
        <w:rPr>
          <w:i/>
        </w:rPr>
        <w:t>purposive sampling</w:t>
      </w:r>
      <w:r w:rsidRPr="00754142">
        <w:rPr>
          <w:lang w:val="id-ID"/>
        </w:rPr>
        <w:t>.</w:t>
      </w:r>
      <w:proofErr w:type="gramEnd"/>
      <w:r w:rsidRPr="00754142">
        <w:t xml:space="preserve"> </w:t>
      </w:r>
      <w:proofErr w:type="gramStart"/>
      <w:r w:rsidRPr="00754142">
        <w:t xml:space="preserve">Penelitian ini dilakukan di </w:t>
      </w:r>
      <w:r w:rsidRPr="00754142">
        <w:rPr>
          <w:lang w:val="id-ID"/>
        </w:rPr>
        <w:t xml:space="preserve">RSUD </w:t>
      </w:r>
      <w:r w:rsidRPr="00754142">
        <w:t>Raden Mattaher Jambi</w:t>
      </w:r>
      <w:r w:rsidRPr="00754142">
        <w:rPr>
          <w:lang w:val="id-ID"/>
        </w:rPr>
        <w:t>.</w:t>
      </w:r>
      <w:proofErr w:type="gramEnd"/>
      <w:r w:rsidRPr="00754142">
        <w:rPr>
          <w:lang w:val="id-ID"/>
        </w:rPr>
        <w:t xml:space="preserve"> </w:t>
      </w:r>
      <w:proofErr w:type="gramStart"/>
      <w:r w:rsidRPr="00754142">
        <w:t>Penelitian</w:t>
      </w:r>
      <w:r w:rsidRPr="00754142">
        <w:rPr>
          <w:lang w:val="id-ID"/>
        </w:rPr>
        <w:t xml:space="preserve"> </w:t>
      </w:r>
      <w:r w:rsidRPr="00754142">
        <w:t xml:space="preserve">ini </w:t>
      </w:r>
      <w:r w:rsidRPr="00754142">
        <w:rPr>
          <w:lang w:val="id-ID"/>
        </w:rPr>
        <w:t>dilakukan pada</w:t>
      </w:r>
      <w:r w:rsidRPr="00754142">
        <w:t xml:space="preserve"> tanggal 08 – 23 Mei 2018.</w:t>
      </w:r>
      <w:proofErr w:type="gramEnd"/>
      <w:r w:rsidRPr="00754142">
        <w:t xml:space="preserve"> </w:t>
      </w:r>
      <w:proofErr w:type="gramStart"/>
      <w:r w:rsidRPr="00754142">
        <w:t xml:space="preserve">Pengumpulan data menggunakan </w:t>
      </w:r>
      <w:r w:rsidRPr="00754142">
        <w:rPr>
          <w:lang w:val="id-ID"/>
        </w:rPr>
        <w:t xml:space="preserve">data rekam medik </w:t>
      </w:r>
      <w:r w:rsidRPr="00754142">
        <w:t>RSUD Raden Mattaher Jambi.</w:t>
      </w:r>
      <w:proofErr w:type="gramEnd"/>
      <w:r w:rsidRPr="00754142">
        <w:t xml:space="preserve"> </w:t>
      </w:r>
      <w:proofErr w:type="gramStart"/>
      <w:r w:rsidRPr="00754142">
        <w:t>Data dianalisis secara univariat dan bivariat</w:t>
      </w:r>
      <w:r w:rsidR="00596B5E" w:rsidRPr="00754142">
        <w:t xml:space="preserve"> (Notoatmodjo, 2010)</w:t>
      </w:r>
      <w:r w:rsidR="00533D0D" w:rsidRPr="00754142">
        <w:t>.</w:t>
      </w:r>
      <w:proofErr w:type="gramEnd"/>
    </w:p>
    <w:p w:rsidR="00676E93" w:rsidRPr="00754142" w:rsidRDefault="00676E93" w:rsidP="000A7B70">
      <w:pPr>
        <w:jc w:val="both"/>
        <w:rPr>
          <w:b/>
        </w:rPr>
      </w:pPr>
    </w:p>
    <w:p w:rsidR="00D449A2" w:rsidRPr="00754142" w:rsidRDefault="00B7271E" w:rsidP="000A7B70">
      <w:pPr>
        <w:jc w:val="both"/>
        <w:rPr>
          <w:b/>
        </w:rPr>
      </w:pPr>
      <w:r w:rsidRPr="00754142">
        <w:rPr>
          <w:b/>
        </w:rPr>
        <w:t xml:space="preserve">HASIL </w:t>
      </w:r>
      <w:r w:rsidR="00D449A2" w:rsidRPr="00754142">
        <w:rPr>
          <w:b/>
        </w:rPr>
        <w:t>PENELITIAN</w:t>
      </w:r>
    </w:p>
    <w:p w:rsidR="000A7B70" w:rsidRPr="00754142" w:rsidRDefault="000A7B70" w:rsidP="000A7B70">
      <w:pPr>
        <w:jc w:val="both"/>
        <w:rPr>
          <w:b/>
          <w:lang w:val="id-ID"/>
        </w:rPr>
      </w:pPr>
    </w:p>
    <w:p w:rsidR="00D449A2" w:rsidRPr="00754142" w:rsidRDefault="00D449A2" w:rsidP="000A7B70">
      <w:pPr>
        <w:jc w:val="both"/>
        <w:rPr>
          <w:b/>
        </w:rPr>
      </w:pPr>
      <w:r w:rsidRPr="00754142">
        <w:rPr>
          <w:b/>
        </w:rPr>
        <w:t>Analisis Univariat</w:t>
      </w:r>
    </w:p>
    <w:p w:rsidR="000A7B70" w:rsidRPr="00754142" w:rsidRDefault="000A7B70" w:rsidP="000A7B70">
      <w:pPr>
        <w:jc w:val="both"/>
        <w:rPr>
          <w:b/>
          <w:lang w:val="id-ID"/>
        </w:rPr>
      </w:pPr>
    </w:p>
    <w:p w:rsidR="000A7B70" w:rsidRPr="00754142" w:rsidRDefault="000A7B70" w:rsidP="000A7B70">
      <w:pPr>
        <w:jc w:val="both"/>
        <w:rPr>
          <w:b/>
        </w:rPr>
      </w:pPr>
      <w:r w:rsidRPr="00754142">
        <w:rPr>
          <w:b/>
        </w:rPr>
        <w:t xml:space="preserve">Umur Ibu Bersalin </w:t>
      </w:r>
    </w:p>
    <w:p w:rsidR="000A7B70" w:rsidRPr="00754142" w:rsidRDefault="000A7B70" w:rsidP="000A7B70">
      <w:pPr>
        <w:pStyle w:val="ListParagraph"/>
        <w:spacing w:after="0" w:line="240" w:lineRule="auto"/>
        <w:ind w:left="0" w:firstLine="540"/>
        <w:jc w:val="both"/>
        <w:rPr>
          <w:rFonts w:ascii="Times New Roman" w:hAnsi="Times New Roman" w:cs="Times New Roman"/>
          <w:sz w:val="24"/>
          <w:szCs w:val="24"/>
        </w:rPr>
      </w:pPr>
      <w:r w:rsidRPr="00754142">
        <w:rPr>
          <w:rFonts w:ascii="Times New Roman" w:hAnsi="Times New Roman" w:cs="Times New Roman"/>
          <w:sz w:val="24"/>
          <w:szCs w:val="24"/>
        </w:rPr>
        <w:t>Penilaian terhadap umur</w:t>
      </w:r>
      <w:r w:rsidRPr="00754142">
        <w:rPr>
          <w:rFonts w:ascii="Times New Roman" w:hAnsi="Times New Roman" w:cs="Times New Roman"/>
          <w:sz w:val="24"/>
          <w:szCs w:val="24"/>
          <w:lang w:val="en-US"/>
        </w:rPr>
        <w:t xml:space="preserve"> ibu bersalin</w:t>
      </w:r>
      <w:r w:rsidRPr="00754142">
        <w:rPr>
          <w:rFonts w:ascii="Times New Roman" w:hAnsi="Times New Roman" w:cs="Times New Roman"/>
          <w:sz w:val="24"/>
          <w:szCs w:val="24"/>
        </w:rPr>
        <w:t xml:space="preserve"> di RSUD Raden Mattaher Jambi Tahun 2016- 2017 diperoleh </w:t>
      </w:r>
      <w:r w:rsidRPr="00754142">
        <w:rPr>
          <w:rFonts w:ascii="Times New Roman" w:hAnsi="Times New Roman" w:cs="Times New Roman"/>
          <w:sz w:val="24"/>
          <w:szCs w:val="24"/>
          <w:lang w:val="en-US"/>
        </w:rPr>
        <w:t xml:space="preserve">dengan menggunakan lembar ceklis. </w:t>
      </w:r>
      <w:r w:rsidRPr="00754142">
        <w:rPr>
          <w:rFonts w:ascii="Times New Roman" w:hAnsi="Times New Roman" w:cs="Times New Roman"/>
          <w:sz w:val="24"/>
          <w:szCs w:val="24"/>
        </w:rPr>
        <w:t xml:space="preserve">Hasil ukur yang ditetapkan untuk </w:t>
      </w:r>
      <w:r w:rsidRPr="00754142">
        <w:rPr>
          <w:rFonts w:ascii="Times New Roman" w:hAnsi="Times New Roman" w:cs="Times New Roman"/>
          <w:sz w:val="24"/>
          <w:szCs w:val="24"/>
          <w:lang w:val="en-US"/>
        </w:rPr>
        <w:t>umur</w:t>
      </w:r>
      <w:r w:rsidRPr="00754142">
        <w:rPr>
          <w:rFonts w:ascii="Times New Roman" w:hAnsi="Times New Roman" w:cs="Times New Roman"/>
          <w:sz w:val="24"/>
          <w:szCs w:val="24"/>
        </w:rPr>
        <w:t xml:space="preserve"> ibu dikategorikan </w:t>
      </w:r>
      <w:r w:rsidRPr="00754142">
        <w:rPr>
          <w:rFonts w:ascii="Times New Roman" w:hAnsi="Times New Roman" w:cs="Times New Roman"/>
          <w:sz w:val="24"/>
          <w:szCs w:val="24"/>
          <w:lang w:val="en-US"/>
        </w:rPr>
        <w:t>menjadi 2 yaitu berisiko dan tidak berisiko.</w:t>
      </w:r>
    </w:p>
    <w:p w:rsidR="000A7B70" w:rsidRPr="00754142" w:rsidRDefault="000A7B70" w:rsidP="000A7B70">
      <w:pPr>
        <w:jc w:val="both"/>
        <w:rPr>
          <w:lang w:val="id-ID"/>
        </w:rPr>
      </w:pPr>
      <w:r w:rsidRPr="00754142">
        <w:rPr>
          <w:b/>
        </w:rPr>
        <w:t>Tabel 4.1</w:t>
      </w:r>
      <w:r w:rsidRPr="00754142">
        <w:rPr>
          <w:lang w:val="id-ID"/>
        </w:rPr>
        <w:t xml:space="preserve"> </w:t>
      </w:r>
      <w:r w:rsidRPr="00754142">
        <w:rPr>
          <w:b/>
        </w:rPr>
        <w:t>Distribusi Responden Berdasarkan Umur Ibu Bersalin di RSUD Raden Mattaher Jambi Tahun 2016- 2017</w:t>
      </w:r>
    </w:p>
    <w:tbl>
      <w:tblPr>
        <w:tblStyle w:val="TableGrid"/>
        <w:tblW w:w="0" w:type="auto"/>
        <w:tblInd w:w="108" w:type="dxa"/>
        <w:tblLook w:val="04A0" w:firstRow="1" w:lastRow="0" w:firstColumn="1" w:lastColumn="0" w:noHBand="0" w:noVBand="1"/>
      </w:tblPr>
      <w:tblGrid>
        <w:gridCol w:w="525"/>
        <w:gridCol w:w="928"/>
        <w:gridCol w:w="426"/>
        <w:gridCol w:w="531"/>
        <w:gridCol w:w="426"/>
        <w:gridCol w:w="583"/>
        <w:gridCol w:w="426"/>
        <w:gridCol w:w="583"/>
      </w:tblGrid>
      <w:tr w:rsidR="000A7B70" w:rsidRPr="00754142" w:rsidTr="000A7B70">
        <w:trPr>
          <w:trHeight w:val="257"/>
        </w:trPr>
        <w:tc>
          <w:tcPr>
            <w:tcW w:w="1049" w:type="dxa"/>
            <w:vMerge w:val="restart"/>
            <w:tcBorders>
              <w:top w:val="single" w:sz="4" w:space="0" w:color="auto"/>
              <w:left w:val="nil"/>
              <w:bottom w:val="single" w:sz="4" w:space="0" w:color="auto"/>
              <w:right w:val="nil"/>
            </w:tcBorders>
            <w:hideMark/>
          </w:tcPr>
          <w:p w:rsidR="000A7B70" w:rsidRPr="00754142" w:rsidRDefault="000A7B70" w:rsidP="000A7B70">
            <w:pPr>
              <w:jc w:val="center"/>
            </w:pPr>
            <w:r w:rsidRPr="00754142">
              <w:t>No.</w:t>
            </w:r>
          </w:p>
        </w:tc>
        <w:tc>
          <w:tcPr>
            <w:tcW w:w="748" w:type="dxa"/>
            <w:vMerge w:val="restart"/>
            <w:tcBorders>
              <w:top w:val="single" w:sz="4" w:space="0" w:color="auto"/>
              <w:left w:val="nil"/>
              <w:bottom w:val="single" w:sz="4" w:space="0" w:color="auto"/>
              <w:right w:val="nil"/>
            </w:tcBorders>
            <w:hideMark/>
          </w:tcPr>
          <w:p w:rsidR="000A7B70" w:rsidRPr="00754142" w:rsidRDefault="000A7B70" w:rsidP="000A7B70">
            <w:pPr>
              <w:jc w:val="center"/>
            </w:pPr>
            <w:r w:rsidRPr="00754142">
              <w:t>Umur</w:t>
            </w:r>
          </w:p>
        </w:tc>
        <w:tc>
          <w:tcPr>
            <w:tcW w:w="849" w:type="dxa"/>
            <w:gridSpan w:val="2"/>
            <w:tcBorders>
              <w:top w:val="single" w:sz="4" w:space="0" w:color="auto"/>
              <w:left w:val="nil"/>
              <w:bottom w:val="single" w:sz="4" w:space="0" w:color="auto"/>
              <w:right w:val="nil"/>
            </w:tcBorders>
            <w:hideMark/>
          </w:tcPr>
          <w:p w:rsidR="000A7B70" w:rsidRPr="00754142" w:rsidRDefault="000A7B70" w:rsidP="000A7B70">
            <w:pPr>
              <w:jc w:val="center"/>
            </w:pPr>
            <w:r w:rsidRPr="00754142">
              <w:t>Kasus</w:t>
            </w:r>
          </w:p>
        </w:tc>
        <w:tc>
          <w:tcPr>
            <w:tcW w:w="891" w:type="dxa"/>
            <w:gridSpan w:val="2"/>
            <w:tcBorders>
              <w:top w:val="single" w:sz="4" w:space="0" w:color="auto"/>
              <w:left w:val="nil"/>
              <w:bottom w:val="single" w:sz="4" w:space="0" w:color="auto"/>
              <w:right w:val="nil"/>
            </w:tcBorders>
            <w:hideMark/>
          </w:tcPr>
          <w:p w:rsidR="000A7B70" w:rsidRPr="00754142" w:rsidRDefault="000A7B70" w:rsidP="000A7B70">
            <w:pPr>
              <w:jc w:val="center"/>
            </w:pPr>
            <w:r w:rsidRPr="00754142">
              <w:t>Kontrol</w:t>
            </w:r>
          </w:p>
        </w:tc>
        <w:tc>
          <w:tcPr>
            <w:tcW w:w="891" w:type="dxa"/>
            <w:gridSpan w:val="2"/>
            <w:tcBorders>
              <w:top w:val="single" w:sz="4" w:space="0" w:color="auto"/>
              <w:left w:val="nil"/>
              <w:bottom w:val="single" w:sz="4" w:space="0" w:color="auto"/>
              <w:right w:val="nil"/>
            </w:tcBorders>
            <w:hideMark/>
          </w:tcPr>
          <w:p w:rsidR="000A7B70" w:rsidRPr="00754142" w:rsidRDefault="000A7B70" w:rsidP="000A7B70">
            <w:pPr>
              <w:jc w:val="center"/>
            </w:pPr>
            <w:r w:rsidRPr="00754142">
              <w:t>Total</w:t>
            </w:r>
          </w:p>
        </w:tc>
      </w:tr>
      <w:tr w:rsidR="000A7B70" w:rsidRPr="00754142" w:rsidTr="000A7B70">
        <w:trPr>
          <w:trHeight w:val="315"/>
        </w:trPr>
        <w:tc>
          <w:tcPr>
            <w:tcW w:w="1049" w:type="dxa"/>
            <w:vMerge/>
            <w:tcBorders>
              <w:top w:val="single" w:sz="4" w:space="0" w:color="auto"/>
              <w:left w:val="nil"/>
              <w:bottom w:val="single" w:sz="4" w:space="0" w:color="auto"/>
              <w:right w:val="nil"/>
            </w:tcBorders>
            <w:vAlign w:val="center"/>
            <w:hideMark/>
          </w:tcPr>
          <w:p w:rsidR="000A7B70" w:rsidRPr="00754142" w:rsidRDefault="000A7B70" w:rsidP="000A7B70"/>
        </w:tc>
        <w:tc>
          <w:tcPr>
            <w:tcW w:w="0" w:type="auto"/>
            <w:vMerge/>
            <w:tcBorders>
              <w:top w:val="single" w:sz="4" w:space="0" w:color="auto"/>
              <w:left w:val="nil"/>
              <w:bottom w:val="single" w:sz="4" w:space="0" w:color="auto"/>
              <w:right w:val="nil"/>
            </w:tcBorders>
            <w:vAlign w:val="center"/>
            <w:hideMark/>
          </w:tcPr>
          <w:p w:rsidR="000A7B70" w:rsidRPr="00754142" w:rsidRDefault="000A7B70" w:rsidP="000A7B70"/>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n</w:t>
            </w:r>
          </w:p>
        </w:tc>
        <w:tc>
          <w:tcPr>
            <w:tcW w:w="466" w:type="dxa"/>
            <w:tcBorders>
              <w:top w:val="single" w:sz="4" w:space="0" w:color="auto"/>
              <w:left w:val="nil"/>
              <w:bottom w:val="single" w:sz="4" w:space="0" w:color="auto"/>
              <w:right w:val="nil"/>
            </w:tcBorders>
            <w:hideMark/>
          </w:tcPr>
          <w:p w:rsidR="000A7B70" w:rsidRPr="00754142" w:rsidRDefault="000A7B70" w:rsidP="000A7B70">
            <w:pPr>
              <w:jc w:val="center"/>
            </w:pPr>
            <w:r w:rsidRPr="00754142">
              <w:t>%</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n</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n</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w:t>
            </w:r>
          </w:p>
        </w:tc>
      </w:tr>
      <w:tr w:rsidR="000A7B70" w:rsidRPr="00754142" w:rsidTr="000A7B70">
        <w:tc>
          <w:tcPr>
            <w:tcW w:w="1049"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w:t>
            </w:r>
          </w:p>
        </w:tc>
        <w:tc>
          <w:tcPr>
            <w:tcW w:w="74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Berisiko</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9</w:t>
            </w:r>
          </w:p>
        </w:tc>
        <w:tc>
          <w:tcPr>
            <w:tcW w:w="466" w:type="dxa"/>
            <w:tcBorders>
              <w:top w:val="single" w:sz="4" w:space="0" w:color="auto"/>
              <w:left w:val="nil"/>
              <w:bottom w:val="single" w:sz="4" w:space="0" w:color="auto"/>
              <w:right w:val="nil"/>
            </w:tcBorders>
            <w:hideMark/>
          </w:tcPr>
          <w:p w:rsidR="000A7B70" w:rsidRPr="00754142" w:rsidRDefault="000A7B70" w:rsidP="000A7B70">
            <w:pPr>
              <w:jc w:val="center"/>
            </w:pPr>
            <w:r w:rsidRPr="00754142">
              <w:t>30</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5</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16.7</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14</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23.3</w:t>
            </w:r>
          </w:p>
        </w:tc>
      </w:tr>
      <w:tr w:rsidR="000A7B70" w:rsidRPr="00754142" w:rsidTr="000A7B70">
        <w:tc>
          <w:tcPr>
            <w:tcW w:w="1049" w:type="dxa"/>
            <w:tcBorders>
              <w:top w:val="single" w:sz="4" w:space="0" w:color="auto"/>
              <w:left w:val="nil"/>
              <w:bottom w:val="single" w:sz="4" w:space="0" w:color="auto"/>
              <w:right w:val="nil"/>
            </w:tcBorders>
            <w:hideMark/>
          </w:tcPr>
          <w:p w:rsidR="000A7B70" w:rsidRPr="00754142" w:rsidRDefault="000A7B70" w:rsidP="000A7B70">
            <w:pPr>
              <w:jc w:val="center"/>
            </w:pPr>
            <w:r w:rsidRPr="00754142">
              <w:t>2.</w:t>
            </w:r>
          </w:p>
        </w:tc>
        <w:tc>
          <w:tcPr>
            <w:tcW w:w="74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Tidak Berisiko</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21</w:t>
            </w:r>
          </w:p>
        </w:tc>
        <w:tc>
          <w:tcPr>
            <w:tcW w:w="466" w:type="dxa"/>
            <w:tcBorders>
              <w:top w:val="single" w:sz="4" w:space="0" w:color="auto"/>
              <w:left w:val="nil"/>
              <w:bottom w:val="single" w:sz="4" w:space="0" w:color="auto"/>
              <w:right w:val="nil"/>
            </w:tcBorders>
            <w:hideMark/>
          </w:tcPr>
          <w:p w:rsidR="000A7B70" w:rsidRPr="00754142" w:rsidRDefault="000A7B70" w:rsidP="000A7B70">
            <w:pPr>
              <w:jc w:val="center"/>
            </w:pPr>
            <w:r w:rsidRPr="00754142">
              <w:t>70</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25</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83.3</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46</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76.7</w:t>
            </w:r>
          </w:p>
        </w:tc>
      </w:tr>
      <w:tr w:rsidR="00AB36BC" w:rsidRPr="00754142" w:rsidTr="000A7B70">
        <w:tc>
          <w:tcPr>
            <w:tcW w:w="1797" w:type="dxa"/>
            <w:gridSpan w:val="2"/>
            <w:tcBorders>
              <w:top w:val="single" w:sz="4" w:space="0" w:color="auto"/>
              <w:left w:val="nil"/>
              <w:bottom w:val="single" w:sz="4" w:space="0" w:color="auto"/>
              <w:right w:val="nil"/>
            </w:tcBorders>
            <w:hideMark/>
          </w:tcPr>
          <w:p w:rsidR="000A7B70" w:rsidRPr="00754142" w:rsidRDefault="000A7B70" w:rsidP="000A7B70">
            <w:pPr>
              <w:jc w:val="center"/>
            </w:pPr>
            <w:r w:rsidRPr="00754142">
              <w:t>Total</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30</w:t>
            </w:r>
          </w:p>
        </w:tc>
        <w:tc>
          <w:tcPr>
            <w:tcW w:w="466"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100</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30</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100</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60</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100</w:t>
            </w:r>
          </w:p>
        </w:tc>
      </w:tr>
    </w:tbl>
    <w:p w:rsidR="000A7B70" w:rsidRPr="00754142" w:rsidRDefault="000A7B70" w:rsidP="000A7B70">
      <w:pPr>
        <w:rPr>
          <w:rFonts w:eastAsiaTheme="minorHAnsi"/>
          <w:lang w:val="id-ID"/>
        </w:rPr>
      </w:pPr>
    </w:p>
    <w:p w:rsidR="000A7B70" w:rsidRPr="00754142" w:rsidRDefault="000A7B70" w:rsidP="000A7B70">
      <w:pPr>
        <w:ind w:firstLine="709"/>
        <w:jc w:val="both"/>
      </w:pPr>
      <w:r w:rsidRPr="00754142">
        <w:t>Berdasarkan tabel 4.1 didapatkan bahwa dari  60 responden, sebanyak 14 responden (23,3%) memiliki umur tidak berisiko dan sebanyak 46 responden (76,7%) memiliki umur berisiko.</w:t>
      </w:r>
    </w:p>
    <w:p w:rsidR="000A7B70" w:rsidRPr="00754142" w:rsidRDefault="000A7B70" w:rsidP="000A7B70">
      <w:pPr>
        <w:pStyle w:val="ListParagraph"/>
        <w:spacing w:after="0" w:line="240" w:lineRule="auto"/>
        <w:ind w:left="0"/>
        <w:jc w:val="both"/>
        <w:rPr>
          <w:rFonts w:ascii="Times New Roman" w:hAnsi="Times New Roman" w:cs="Times New Roman"/>
          <w:b/>
          <w:sz w:val="24"/>
          <w:szCs w:val="24"/>
        </w:rPr>
      </w:pPr>
    </w:p>
    <w:p w:rsidR="000A7B70" w:rsidRPr="00754142" w:rsidRDefault="000A7B70" w:rsidP="000A7B70">
      <w:pPr>
        <w:pStyle w:val="ListParagraph"/>
        <w:spacing w:after="0" w:line="240" w:lineRule="auto"/>
        <w:ind w:left="0"/>
        <w:jc w:val="both"/>
        <w:rPr>
          <w:rFonts w:ascii="Times New Roman" w:hAnsi="Times New Roman" w:cs="Times New Roman"/>
          <w:b/>
          <w:sz w:val="24"/>
          <w:szCs w:val="24"/>
          <w:lang w:val="en-US"/>
        </w:rPr>
      </w:pPr>
      <w:r w:rsidRPr="00754142">
        <w:rPr>
          <w:rFonts w:ascii="Times New Roman" w:hAnsi="Times New Roman" w:cs="Times New Roman"/>
          <w:b/>
          <w:sz w:val="24"/>
          <w:szCs w:val="24"/>
          <w:lang w:val="en-US"/>
        </w:rPr>
        <w:t xml:space="preserve">Paritas Ibu Bersalin </w:t>
      </w:r>
    </w:p>
    <w:p w:rsidR="000A7B70" w:rsidRPr="00754142" w:rsidRDefault="000A7B70" w:rsidP="000A7B70">
      <w:pPr>
        <w:pStyle w:val="ListParagraph"/>
        <w:spacing w:after="0" w:line="240" w:lineRule="auto"/>
        <w:ind w:left="0" w:firstLine="540"/>
        <w:jc w:val="both"/>
        <w:rPr>
          <w:rFonts w:ascii="Times New Roman" w:hAnsi="Times New Roman" w:cs="Times New Roman"/>
          <w:sz w:val="24"/>
          <w:szCs w:val="24"/>
        </w:rPr>
      </w:pPr>
      <w:r w:rsidRPr="00754142">
        <w:rPr>
          <w:rFonts w:ascii="Times New Roman" w:hAnsi="Times New Roman" w:cs="Times New Roman"/>
          <w:sz w:val="24"/>
          <w:szCs w:val="24"/>
        </w:rPr>
        <w:t xml:space="preserve">Penilaian terhadap </w:t>
      </w:r>
      <w:r w:rsidRPr="00754142">
        <w:rPr>
          <w:rFonts w:ascii="Times New Roman" w:hAnsi="Times New Roman" w:cs="Times New Roman"/>
          <w:sz w:val="24"/>
          <w:szCs w:val="24"/>
          <w:lang w:val="en-US"/>
        </w:rPr>
        <w:t>paritas ibu bersalin</w:t>
      </w:r>
      <w:r w:rsidRPr="00754142">
        <w:rPr>
          <w:rFonts w:ascii="Times New Roman" w:hAnsi="Times New Roman" w:cs="Times New Roman"/>
          <w:sz w:val="24"/>
          <w:szCs w:val="24"/>
        </w:rPr>
        <w:t xml:space="preserve"> di RSUD Raden Mattaher Jambi Tahun 2016- 2017</w:t>
      </w:r>
      <w:r w:rsidRPr="00754142">
        <w:rPr>
          <w:rFonts w:ascii="Times New Roman" w:hAnsi="Times New Roman" w:cs="Times New Roman"/>
          <w:sz w:val="24"/>
          <w:szCs w:val="24"/>
          <w:lang w:val="en-US"/>
        </w:rPr>
        <w:t xml:space="preserve"> </w:t>
      </w:r>
      <w:r w:rsidRPr="00754142">
        <w:rPr>
          <w:rFonts w:ascii="Times New Roman" w:hAnsi="Times New Roman" w:cs="Times New Roman"/>
          <w:sz w:val="24"/>
          <w:szCs w:val="24"/>
        </w:rPr>
        <w:t xml:space="preserve">diperoleh </w:t>
      </w:r>
      <w:r w:rsidRPr="00754142">
        <w:rPr>
          <w:rFonts w:ascii="Times New Roman" w:hAnsi="Times New Roman" w:cs="Times New Roman"/>
          <w:sz w:val="24"/>
          <w:szCs w:val="24"/>
          <w:lang w:val="en-US"/>
        </w:rPr>
        <w:t>dengan menggunakan lembar ceklis.</w:t>
      </w:r>
      <w:r w:rsidRPr="00754142">
        <w:rPr>
          <w:rFonts w:ascii="Times New Roman" w:hAnsi="Times New Roman" w:cs="Times New Roman"/>
          <w:sz w:val="24"/>
          <w:szCs w:val="24"/>
        </w:rPr>
        <w:t xml:space="preserve"> Hasil ukur yang ditetapkan </w:t>
      </w:r>
      <w:r w:rsidRPr="00754142">
        <w:rPr>
          <w:rFonts w:ascii="Times New Roman" w:hAnsi="Times New Roman" w:cs="Times New Roman"/>
          <w:sz w:val="24"/>
          <w:szCs w:val="24"/>
        </w:rPr>
        <w:lastRenderedPageBreak/>
        <w:t xml:space="preserve">untuk </w:t>
      </w:r>
      <w:r w:rsidRPr="00754142">
        <w:rPr>
          <w:rFonts w:ascii="Times New Roman" w:hAnsi="Times New Roman" w:cs="Times New Roman"/>
          <w:sz w:val="24"/>
          <w:szCs w:val="24"/>
          <w:lang w:val="en-US"/>
        </w:rPr>
        <w:t>paritas terbagi menjadi dua yaitu berisiko dan tidak berisiko.</w:t>
      </w:r>
    </w:p>
    <w:p w:rsidR="000A7B70" w:rsidRPr="00754142" w:rsidRDefault="000A7B70" w:rsidP="000A7B70">
      <w:pPr>
        <w:jc w:val="both"/>
        <w:rPr>
          <w:b/>
        </w:rPr>
      </w:pPr>
      <w:r w:rsidRPr="00754142">
        <w:rPr>
          <w:b/>
        </w:rPr>
        <w:t>Tabel 4.2</w:t>
      </w:r>
      <w:r w:rsidRPr="00754142">
        <w:rPr>
          <w:b/>
          <w:lang w:val="id-ID"/>
        </w:rPr>
        <w:t xml:space="preserve"> </w:t>
      </w:r>
      <w:r w:rsidRPr="00754142">
        <w:rPr>
          <w:b/>
        </w:rPr>
        <w:t>Distribusi Responden Berdasarkan Paritas Ibu Bersalin di RSUD Raden Mattaher Jambi Tahun 2016- 2017</w:t>
      </w:r>
    </w:p>
    <w:tbl>
      <w:tblPr>
        <w:tblStyle w:val="TableGrid"/>
        <w:tblW w:w="0" w:type="auto"/>
        <w:tblInd w:w="108" w:type="dxa"/>
        <w:tblLook w:val="04A0" w:firstRow="1" w:lastRow="0" w:firstColumn="1" w:lastColumn="0" w:noHBand="0" w:noVBand="1"/>
      </w:tblPr>
      <w:tblGrid>
        <w:gridCol w:w="525"/>
        <w:gridCol w:w="928"/>
        <w:gridCol w:w="426"/>
        <w:gridCol w:w="583"/>
        <w:gridCol w:w="426"/>
        <w:gridCol w:w="583"/>
        <w:gridCol w:w="426"/>
        <w:gridCol w:w="531"/>
      </w:tblGrid>
      <w:tr w:rsidR="000A7B70" w:rsidRPr="00754142" w:rsidTr="000A7B70">
        <w:trPr>
          <w:trHeight w:val="257"/>
        </w:trPr>
        <w:tc>
          <w:tcPr>
            <w:tcW w:w="1049" w:type="dxa"/>
            <w:vMerge w:val="restart"/>
            <w:tcBorders>
              <w:top w:val="single" w:sz="4" w:space="0" w:color="auto"/>
              <w:left w:val="nil"/>
              <w:bottom w:val="single" w:sz="4" w:space="0" w:color="auto"/>
              <w:right w:val="nil"/>
            </w:tcBorders>
            <w:hideMark/>
          </w:tcPr>
          <w:p w:rsidR="000A7B70" w:rsidRPr="00754142" w:rsidRDefault="000A7B70" w:rsidP="000A7B70">
            <w:pPr>
              <w:jc w:val="center"/>
            </w:pPr>
            <w:r w:rsidRPr="00754142">
              <w:t>No.</w:t>
            </w:r>
          </w:p>
        </w:tc>
        <w:tc>
          <w:tcPr>
            <w:tcW w:w="748" w:type="dxa"/>
            <w:vMerge w:val="restart"/>
            <w:tcBorders>
              <w:top w:val="single" w:sz="4" w:space="0" w:color="auto"/>
              <w:left w:val="nil"/>
              <w:bottom w:val="single" w:sz="4" w:space="0" w:color="auto"/>
              <w:right w:val="nil"/>
            </w:tcBorders>
            <w:hideMark/>
          </w:tcPr>
          <w:p w:rsidR="000A7B70" w:rsidRPr="00754142" w:rsidRDefault="000A7B70" w:rsidP="000A7B70">
            <w:pPr>
              <w:jc w:val="center"/>
            </w:pPr>
            <w:r w:rsidRPr="00754142">
              <w:t>Paritas</w:t>
            </w:r>
          </w:p>
        </w:tc>
        <w:tc>
          <w:tcPr>
            <w:tcW w:w="891" w:type="dxa"/>
            <w:gridSpan w:val="2"/>
            <w:tcBorders>
              <w:top w:val="single" w:sz="4" w:space="0" w:color="auto"/>
              <w:left w:val="nil"/>
              <w:bottom w:val="single" w:sz="4" w:space="0" w:color="auto"/>
              <w:right w:val="nil"/>
            </w:tcBorders>
            <w:hideMark/>
          </w:tcPr>
          <w:p w:rsidR="000A7B70" w:rsidRPr="00754142" w:rsidRDefault="000A7B70" w:rsidP="000A7B70">
            <w:pPr>
              <w:jc w:val="center"/>
            </w:pPr>
            <w:r w:rsidRPr="00754142">
              <w:t>Kasus</w:t>
            </w:r>
          </w:p>
        </w:tc>
        <w:tc>
          <w:tcPr>
            <w:tcW w:w="891" w:type="dxa"/>
            <w:gridSpan w:val="2"/>
            <w:tcBorders>
              <w:top w:val="single" w:sz="4" w:space="0" w:color="auto"/>
              <w:left w:val="nil"/>
              <w:bottom w:val="single" w:sz="4" w:space="0" w:color="auto"/>
              <w:right w:val="nil"/>
            </w:tcBorders>
            <w:hideMark/>
          </w:tcPr>
          <w:p w:rsidR="000A7B70" w:rsidRPr="00754142" w:rsidRDefault="000A7B70" w:rsidP="000A7B70">
            <w:pPr>
              <w:jc w:val="center"/>
            </w:pPr>
            <w:r w:rsidRPr="00754142">
              <w:t>Kontrol</w:t>
            </w:r>
          </w:p>
        </w:tc>
        <w:tc>
          <w:tcPr>
            <w:tcW w:w="849" w:type="dxa"/>
            <w:gridSpan w:val="2"/>
            <w:tcBorders>
              <w:top w:val="single" w:sz="4" w:space="0" w:color="auto"/>
              <w:left w:val="nil"/>
              <w:bottom w:val="single" w:sz="4" w:space="0" w:color="auto"/>
              <w:right w:val="nil"/>
            </w:tcBorders>
            <w:hideMark/>
          </w:tcPr>
          <w:p w:rsidR="000A7B70" w:rsidRPr="00754142" w:rsidRDefault="000A7B70" w:rsidP="000A7B70">
            <w:pPr>
              <w:jc w:val="center"/>
            </w:pPr>
            <w:r w:rsidRPr="00754142">
              <w:t>Total</w:t>
            </w:r>
          </w:p>
        </w:tc>
      </w:tr>
      <w:tr w:rsidR="000A7B70" w:rsidRPr="00754142" w:rsidTr="000A7B70">
        <w:trPr>
          <w:trHeight w:val="315"/>
        </w:trPr>
        <w:tc>
          <w:tcPr>
            <w:tcW w:w="1049" w:type="dxa"/>
            <w:vMerge/>
            <w:tcBorders>
              <w:top w:val="single" w:sz="4" w:space="0" w:color="auto"/>
              <w:left w:val="nil"/>
              <w:bottom w:val="single" w:sz="4" w:space="0" w:color="auto"/>
              <w:right w:val="nil"/>
            </w:tcBorders>
            <w:vAlign w:val="center"/>
            <w:hideMark/>
          </w:tcPr>
          <w:p w:rsidR="000A7B70" w:rsidRPr="00754142" w:rsidRDefault="000A7B70" w:rsidP="000A7B70"/>
        </w:tc>
        <w:tc>
          <w:tcPr>
            <w:tcW w:w="0" w:type="auto"/>
            <w:vMerge/>
            <w:tcBorders>
              <w:top w:val="single" w:sz="4" w:space="0" w:color="auto"/>
              <w:left w:val="nil"/>
              <w:bottom w:val="single" w:sz="4" w:space="0" w:color="auto"/>
              <w:right w:val="nil"/>
            </w:tcBorders>
            <w:vAlign w:val="center"/>
            <w:hideMark/>
          </w:tcPr>
          <w:p w:rsidR="000A7B70" w:rsidRPr="00754142" w:rsidRDefault="000A7B70" w:rsidP="000A7B70"/>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n</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n</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n</w:t>
            </w:r>
          </w:p>
        </w:tc>
        <w:tc>
          <w:tcPr>
            <w:tcW w:w="466" w:type="dxa"/>
            <w:tcBorders>
              <w:top w:val="single" w:sz="4" w:space="0" w:color="auto"/>
              <w:left w:val="nil"/>
              <w:bottom w:val="single" w:sz="4" w:space="0" w:color="auto"/>
              <w:right w:val="nil"/>
            </w:tcBorders>
            <w:hideMark/>
          </w:tcPr>
          <w:p w:rsidR="000A7B70" w:rsidRPr="00754142" w:rsidRDefault="000A7B70" w:rsidP="000A7B70">
            <w:pPr>
              <w:jc w:val="center"/>
            </w:pPr>
            <w:r w:rsidRPr="00754142">
              <w:t>%</w:t>
            </w:r>
          </w:p>
        </w:tc>
      </w:tr>
      <w:tr w:rsidR="000A7B70" w:rsidRPr="00754142" w:rsidTr="000A7B70">
        <w:tc>
          <w:tcPr>
            <w:tcW w:w="1049"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w:t>
            </w:r>
          </w:p>
        </w:tc>
        <w:tc>
          <w:tcPr>
            <w:tcW w:w="74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Berisiko</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22</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73.3</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11</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36.7</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33</w:t>
            </w:r>
          </w:p>
        </w:tc>
        <w:tc>
          <w:tcPr>
            <w:tcW w:w="466" w:type="dxa"/>
            <w:tcBorders>
              <w:top w:val="single" w:sz="4" w:space="0" w:color="auto"/>
              <w:left w:val="nil"/>
              <w:bottom w:val="single" w:sz="4" w:space="0" w:color="auto"/>
              <w:right w:val="nil"/>
            </w:tcBorders>
            <w:hideMark/>
          </w:tcPr>
          <w:p w:rsidR="000A7B70" w:rsidRPr="00754142" w:rsidRDefault="000A7B70" w:rsidP="000A7B70">
            <w:pPr>
              <w:jc w:val="center"/>
            </w:pPr>
            <w:r w:rsidRPr="00754142">
              <w:t>55</w:t>
            </w:r>
          </w:p>
        </w:tc>
      </w:tr>
      <w:tr w:rsidR="000A7B70" w:rsidRPr="00754142" w:rsidTr="000A7B70">
        <w:tc>
          <w:tcPr>
            <w:tcW w:w="1049" w:type="dxa"/>
            <w:tcBorders>
              <w:top w:val="single" w:sz="4" w:space="0" w:color="auto"/>
              <w:left w:val="nil"/>
              <w:bottom w:val="single" w:sz="4" w:space="0" w:color="auto"/>
              <w:right w:val="nil"/>
            </w:tcBorders>
            <w:hideMark/>
          </w:tcPr>
          <w:p w:rsidR="000A7B70" w:rsidRPr="00754142" w:rsidRDefault="000A7B70" w:rsidP="000A7B70">
            <w:pPr>
              <w:jc w:val="center"/>
            </w:pPr>
            <w:r w:rsidRPr="00754142">
              <w:t>2.</w:t>
            </w:r>
          </w:p>
        </w:tc>
        <w:tc>
          <w:tcPr>
            <w:tcW w:w="74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Tidak Berisiko</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8</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26.7</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19</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63.3</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27</w:t>
            </w:r>
          </w:p>
        </w:tc>
        <w:tc>
          <w:tcPr>
            <w:tcW w:w="466" w:type="dxa"/>
            <w:tcBorders>
              <w:top w:val="single" w:sz="4" w:space="0" w:color="auto"/>
              <w:left w:val="nil"/>
              <w:bottom w:val="single" w:sz="4" w:space="0" w:color="auto"/>
              <w:right w:val="nil"/>
            </w:tcBorders>
            <w:hideMark/>
          </w:tcPr>
          <w:p w:rsidR="000A7B70" w:rsidRPr="00754142" w:rsidRDefault="000A7B70" w:rsidP="000A7B70">
            <w:pPr>
              <w:jc w:val="center"/>
            </w:pPr>
            <w:r w:rsidRPr="00754142">
              <w:t>45</w:t>
            </w:r>
          </w:p>
        </w:tc>
      </w:tr>
      <w:tr w:rsidR="00AB36BC" w:rsidRPr="00754142" w:rsidTr="000A7B70">
        <w:tc>
          <w:tcPr>
            <w:tcW w:w="1797" w:type="dxa"/>
            <w:gridSpan w:val="2"/>
            <w:tcBorders>
              <w:top w:val="single" w:sz="4" w:space="0" w:color="auto"/>
              <w:left w:val="nil"/>
              <w:bottom w:val="single" w:sz="4" w:space="0" w:color="auto"/>
              <w:right w:val="nil"/>
            </w:tcBorders>
            <w:hideMark/>
          </w:tcPr>
          <w:p w:rsidR="000A7B70" w:rsidRPr="00754142" w:rsidRDefault="000A7B70" w:rsidP="000A7B70">
            <w:pPr>
              <w:jc w:val="center"/>
            </w:pPr>
            <w:r w:rsidRPr="00754142">
              <w:t>Total</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30</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100</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30</w:t>
            </w:r>
          </w:p>
        </w:tc>
        <w:tc>
          <w:tcPr>
            <w:tcW w:w="508"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100</w:t>
            </w:r>
          </w:p>
        </w:tc>
        <w:tc>
          <w:tcPr>
            <w:tcW w:w="38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60</w:t>
            </w:r>
          </w:p>
        </w:tc>
        <w:tc>
          <w:tcPr>
            <w:tcW w:w="466"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100</w:t>
            </w:r>
          </w:p>
        </w:tc>
      </w:tr>
    </w:tbl>
    <w:p w:rsidR="000A7B70" w:rsidRPr="00754142" w:rsidRDefault="000A7B70" w:rsidP="000A7B70">
      <w:pPr>
        <w:rPr>
          <w:rFonts w:eastAsiaTheme="minorHAnsi"/>
          <w:lang w:val="id-ID"/>
        </w:rPr>
      </w:pPr>
    </w:p>
    <w:p w:rsidR="000A7B70" w:rsidRPr="00754142" w:rsidRDefault="000A7B70" w:rsidP="0072161C">
      <w:pPr>
        <w:ind w:firstLine="709"/>
        <w:jc w:val="both"/>
      </w:pPr>
      <w:r w:rsidRPr="00754142">
        <w:t>Berdasarkan tabel 4.2 didapatkan bahwa dari 60 responden, sebanyak 33 responden (55%) memiliki paritas berisiko dan sebanyak 27 responden (45%) memiliki paritas tidak berisiko.</w:t>
      </w:r>
    </w:p>
    <w:p w:rsidR="0072161C" w:rsidRPr="00754142" w:rsidRDefault="0072161C" w:rsidP="0072161C">
      <w:pPr>
        <w:pStyle w:val="ListParagraph"/>
        <w:spacing w:after="0" w:line="240" w:lineRule="auto"/>
        <w:ind w:left="0"/>
        <w:jc w:val="both"/>
        <w:rPr>
          <w:rFonts w:ascii="Times New Roman" w:hAnsi="Times New Roman" w:cs="Times New Roman"/>
          <w:b/>
          <w:sz w:val="24"/>
          <w:szCs w:val="24"/>
        </w:rPr>
      </w:pPr>
    </w:p>
    <w:p w:rsidR="000A7B70" w:rsidRPr="00754142" w:rsidRDefault="000A7B70" w:rsidP="0072161C">
      <w:pPr>
        <w:pStyle w:val="ListParagraph"/>
        <w:spacing w:after="0" w:line="240" w:lineRule="auto"/>
        <w:ind w:left="0"/>
        <w:jc w:val="both"/>
        <w:rPr>
          <w:rFonts w:ascii="Times New Roman" w:hAnsi="Times New Roman" w:cs="Times New Roman"/>
          <w:b/>
          <w:sz w:val="24"/>
          <w:szCs w:val="24"/>
          <w:lang w:val="en-US"/>
        </w:rPr>
      </w:pPr>
      <w:r w:rsidRPr="00754142">
        <w:rPr>
          <w:rFonts w:ascii="Times New Roman" w:hAnsi="Times New Roman" w:cs="Times New Roman"/>
          <w:b/>
          <w:sz w:val="24"/>
          <w:szCs w:val="24"/>
          <w:lang w:val="en-US"/>
        </w:rPr>
        <w:t xml:space="preserve">Anemia Ibu Bersalin </w:t>
      </w:r>
    </w:p>
    <w:p w:rsidR="0072161C" w:rsidRPr="00754142" w:rsidRDefault="000A7B70" w:rsidP="0072161C">
      <w:pPr>
        <w:pStyle w:val="ListParagraph"/>
        <w:spacing w:after="0" w:line="240" w:lineRule="auto"/>
        <w:ind w:left="0" w:firstLine="540"/>
        <w:jc w:val="both"/>
        <w:rPr>
          <w:rFonts w:ascii="Times New Roman" w:hAnsi="Times New Roman" w:cs="Times New Roman"/>
          <w:sz w:val="24"/>
          <w:szCs w:val="24"/>
        </w:rPr>
      </w:pPr>
      <w:r w:rsidRPr="00754142">
        <w:rPr>
          <w:rFonts w:ascii="Times New Roman" w:hAnsi="Times New Roman" w:cs="Times New Roman"/>
          <w:sz w:val="24"/>
          <w:szCs w:val="24"/>
        </w:rPr>
        <w:t xml:space="preserve">Penilaian terhadap </w:t>
      </w:r>
      <w:r w:rsidRPr="00754142">
        <w:rPr>
          <w:rFonts w:ascii="Times New Roman" w:hAnsi="Times New Roman" w:cs="Times New Roman"/>
          <w:sz w:val="24"/>
          <w:szCs w:val="24"/>
          <w:lang w:val="en-US"/>
        </w:rPr>
        <w:t>anemia ibu bersalin</w:t>
      </w:r>
      <w:r w:rsidRPr="00754142">
        <w:rPr>
          <w:rFonts w:ascii="Times New Roman" w:hAnsi="Times New Roman" w:cs="Times New Roman"/>
          <w:sz w:val="24"/>
          <w:szCs w:val="24"/>
        </w:rPr>
        <w:t xml:space="preserve"> di RSUD Raden Mattaher Jambi Tahun 2016- 2017 diperoleh </w:t>
      </w:r>
      <w:r w:rsidRPr="00754142">
        <w:rPr>
          <w:rFonts w:ascii="Times New Roman" w:hAnsi="Times New Roman" w:cs="Times New Roman"/>
          <w:sz w:val="24"/>
          <w:szCs w:val="24"/>
          <w:lang w:val="en-US"/>
        </w:rPr>
        <w:t>dengan menggunakan lembar ceklis.</w:t>
      </w:r>
      <w:r w:rsidRPr="00754142">
        <w:rPr>
          <w:rFonts w:ascii="Times New Roman" w:hAnsi="Times New Roman" w:cs="Times New Roman"/>
          <w:sz w:val="24"/>
          <w:szCs w:val="24"/>
        </w:rPr>
        <w:t xml:space="preserve"> Hasil ukur yang ditetapkan untuk </w:t>
      </w:r>
      <w:r w:rsidRPr="00754142">
        <w:rPr>
          <w:rFonts w:ascii="Times New Roman" w:hAnsi="Times New Roman" w:cs="Times New Roman"/>
          <w:sz w:val="24"/>
          <w:szCs w:val="24"/>
          <w:lang w:val="en-US"/>
        </w:rPr>
        <w:t>anemia terbagi menjadi dua yaitu anemia dan tidak anemia.</w:t>
      </w:r>
    </w:p>
    <w:p w:rsidR="000A7B70" w:rsidRPr="00754142" w:rsidRDefault="000A7B70" w:rsidP="0072161C">
      <w:pPr>
        <w:jc w:val="both"/>
      </w:pPr>
      <w:r w:rsidRPr="00754142">
        <w:rPr>
          <w:b/>
        </w:rPr>
        <w:t>Tabel 4.3</w:t>
      </w:r>
      <w:r w:rsidR="0072161C" w:rsidRPr="00754142">
        <w:rPr>
          <w:lang w:val="id-ID"/>
        </w:rPr>
        <w:t xml:space="preserve"> </w:t>
      </w:r>
      <w:r w:rsidRPr="00754142">
        <w:rPr>
          <w:b/>
        </w:rPr>
        <w:t>Distribusi Responden Berdasarkan Anemia Ibu Bersalin di RSUD Raden Mattaher Jambi Tahun 2016- 2017</w:t>
      </w:r>
    </w:p>
    <w:tbl>
      <w:tblPr>
        <w:tblStyle w:val="TableGrid"/>
        <w:tblW w:w="0" w:type="auto"/>
        <w:tblInd w:w="108" w:type="dxa"/>
        <w:tblLook w:val="04A0" w:firstRow="1" w:lastRow="0" w:firstColumn="1" w:lastColumn="0" w:noHBand="0" w:noVBand="1"/>
      </w:tblPr>
      <w:tblGrid>
        <w:gridCol w:w="544"/>
        <w:gridCol w:w="920"/>
        <w:gridCol w:w="438"/>
        <w:gridCol w:w="550"/>
        <w:gridCol w:w="438"/>
        <w:gridCol w:w="550"/>
        <w:gridCol w:w="438"/>
        <w:gridCol w:w="550"/>
      </w:tblGrid>
      <w:tr w:rsidR="000A7B70" w:rsidRPr="00754142" w:rsidTr="0072161C">
        <w:trPr>
          <w:trHeight w:val="257"/>
        </w:trPr>
        <w:tc>
          <w:tcPr>
            <w:tcW w:w="1062" w:type="dxa"/>
            <w:vMerge w:val="restart"/>
            <w:tcBorders>
              <w:top w:val="single" w:sz="4" w:space="0" w:color="auto"/>
              <w:left w:val="nil"/>
              <w:bottom w:val="single" w:sz="4" w:space="0" w:color="auto"/>
              <w:right w:val="nil"/>
            </w:tcBorders>
            <w:hideMark/>
          </w:tcPr>
          <w:p w:rsidR="000A7B70" w:rsidRPr="00754142" w:rsidRDefault="000A7B70" w:rsidP="000A7B70">
            <w:pPr>
              <w:jc w:val="center"/>
            </w:pPr>
            <w:r w:rsidRPr="00754142">
              <w:t>No.</w:t>
            </w:r>
          </w:p>
        </w:tc>
        <w:tc>
          <w:tcPr>
            <w:tcW w:w="750" w:type="dxa"/>
            <w:vMerge w:val="restart"/>
            <w:tcBorders>
              <w:top w:val="single" w:sz="4" w:space="0" w:color="auto"/>
              <w:left w:val="nil"/>
              <w:bottom w:val="single" w:sz="4" w:space="0" w:color="auto"/>
              <w:right w:val="nil"/>
            </w:tcBorders>
            <w:hideMark/>
          </w:tcPr>
          <w:p w:rsidR="000A7B70" w:rsidRPr="00754142" w:rsidRDefault="000A7B70" w:rsidP="000A7B70">
            <w:pPr>
              <w:jc w:val="center"/>
            </w:pPr>
            <w:r w:rsidRPr="00754142">
              <w:t>Anemia</w:t>
            </w:r>
          </w:p>
        </w:tc>
        <w:tc>
          <w:tcPr>
            <w:tcW w:w="872" w:type="dxa"/>
            <w:gridSpan w:val="2"/>
            <w:tcBorders>
              <w:top w:val="single" w:sz="4" w:space="0" w:color="auto"/>
              <w:left w:val="nil"/>
              <w:bottom w:val="single" w:sz="4" w:space="0" w:color="auto"/>
              <w:right w:val="nil"/>
            </w:tcBorders>
            <w:hideMark/>
          </w:tcPr>
          <w:p w:rsidR="000A7B70" w:rsidRPr="00754142" w:rsidRDefault="000A7B70" w:rsidP="000A7B70">
            <w:pPr>
              <w:jc w:val="center"/>
            </w:pPr>
            <w:r w:rsidRPr="00754142">
              <w:t>Kasus</w:t>
            </w:r>
          </w:p>
        </w:tc>
        <w:tc>
          <w:tcPr>
            <w:tcW w:w="872" w:type="dxa"/>
            <w:gridSpan w:val="2"/>
            <w:tcBorders>
              <w:top w:val="single" w:sz="4" w:space="0" w:color="auto"/>
              <w:left w:val="nil"/>
              <w:bottom w:val="single" w:sz="4" w:space="0" w:color="auto"/>
              <w:right w:val="nil"/>
            </w:tcBorders>
            <w:hideMark/>
          </w:tcPr>
          <w:p w:rsidR="000A7B70" w:rsidRPr="00754142" w:rsidRDefault="000A7B70" w:rsidP="000A7B70">
            <w:pPr>
              <w:jc w:val="center"/>
            </w:pPr>
            <w:r w:rsidRPr="00754142">
              <w:t>Kontrol</w:t>
            </w:r>
          </w:p>
        </w:tc>
        <w:tc>
          <w:tcPr>
            <w:tcW w:w="872" w:type="dxa"/>
            <w:gridSpan w:val="2"/>
            <w:tcBorders>
              <w:top w:val="single" w:sz="4" w:space="0" w:color="auto"/>
              <w:left w:val="nil"/>
              <w:bottom w:val="single" w:sz="4" w:space="0" w:color="auto"/>
              <w:right w:val="nil"/>
            </w:tcBorders>
            <w:hideMark/>
          </w:tcPr>
          <w:p w:rsidR="000A7B70" w:rsidRPr="00754142" w:rsidRDefault="000A7B70" w:rsidP="000A7B70">
            <w:pPr>
              <w:jc w:val="center"/>
            </w:pPr>
            <w:r w:rsidRPr="00754142">
              <w:t>Total</w:t>
            </w:r>
          </w:p>
        </w:tc>
      </w:tr>
      <w:tr w:rsidR="0072161C" w:rsidRPr="00754142" w:rsidTr="0072161C">
        <w:trPr>
          <w:trHeight w:val="315"/>
        </w:trPr>
        <w:tc>
          <w:tcPr>
            <w:tcW w:w="1062" w:type="dxa"/>
            <w:vMerge/>
            <w:tcBorders>
              <w:top w:val="single" w:sz="4" w:space="0" w:color="auto"/>
              <w:left w:val="nil"/>
              <w:bottom w:val="single" w:sz="4" w:space="0" w:color="auto"/>
              <w:right w:val="nil"/>
            </w:tcBorders>
            <w:vAlign w:val="center"/>
            <w:hideMark/>
          </w:tcPr>
          <w:p w:rsidR="000A7B70" w:rsidRPr="00754142" w:rsidRDefault="000A7B70" w:rsidP="000A7B70"/>
        </w:tc>
        <w:tc>
          <w:tcPr>
            <w:tcW w:w="0" w:type="auto"/>
            <w:vMerge/>
            <w:tcBorders>
              <w:top w:val="single" w:sz="4" w:space="0" w:color="auto"/>
              <w:left w:val="nil"/>
              <w:bottom w:val="single" w:sz="4" w:space="0" w:color="auto"/>
              <w:right w:val="nil"/>
            </w:tcBorders>
            <w:vAlign w:val="center"/>
            <w:hideMark/>
          </w:tcPr>
          <w:p w:rsidR="000A7B70" w:rsidRPr="00754142" w:rsidRDefault="000A7B70" w:rsidP="000A7B70"/>
        </w:tc>
        <w:tc>
          <w:tcPr>
            <w:tcW w:w="39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n</w:t>
            </w:r>
          </w:p>
        </w:tc>
        <w:tc>
          <w:tcPr>
            <w:tcW w:w="480" w:type="dxa"/>
            <w:tcBorders>
              <w:top w:val="single" w:sz="4" w:space="0" w:color="auto"/>
              <w:left w:val="nil"/>
              <w:bottom w:val="single" w:sz="4" w:space="0" w:color="auto"/>
              <w:right w:val="nil"/>
            </w:tcBorders>
            <w:hideMark/>
          </w:tcPr>
          <w:p w:rsidR="000A7B70" w:rsidRPr="00754142" w:rsidRDefault="000A7B70" w:rsidP="000A7B70">
            <w:pPr>
              <w:jc w:val="center"/>
            </w:pPr>
            <w:r w:rsidRPr="00754142">
              <w:t>%</w:t>
            </w:r>
          </w:p>
        </w:tc>
        <w:tc>
          <w:tcPr>
            <w:tcW w:w="39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n</w:t>
            </w:r>
          </w:p>
        </w:tc>
        <w:tc>
          <w:tcPr>
            <w:tcW w:w="480" w:type="dxa"/>
            <w:tcBorders>
              <w:top w:val="single" w:sz="4" w:space="0" w:color="auto"/>
              <w:left w:val="nil"/>
              <w:bottom w:val="single" w:sz="4" w:space="0" w:color="auto"/>
              <w:right w:val="nil"/>
            </w:tcBorders>
            <w:hideMark/>
          </w:tcPr>
          <w:p w:rsidR="000A7B70" w:rsidRPr="00754142" w:rsidRDefault="000A7B70" w:rsidP="000A7B70">
            <w:pPr>
              <w:jc w:val="center"/>
            </w:pPr>
            <w:r w:rsidRPr="00754142">
              <w:t>%</w:t>
            </w:r>
          </w:p>
        </w:tc>
        <w:tc>
          <w:tcPr>
            <w:tcW w:w="39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n</w:t>
            </w:r>
          </w:p>
        </w:tc>
        <w:tc>
          <w:tcPr>
            <w:tcW w:w="480" w:type="dxa"/>
            <w:tcBorders>
              <w:top w:val="single" w:sz="4" w:space="0" w:color="auto"/>
              <w:left w:val="nil"/>
              <w:bottom w:val="single" w:sz="4" w:space="0" w:color="auto"/>
              <w:right w:val="nil"/>
            </w:tcBorders>
            <w:hideMark/>
          </w:tcPr>
          <w:p w:rsidR="000A7B70" w:rsidRPr="00754142" w:rsidRDefault="000A7B70" w:rsidP="000A7B70">
            <w:pPr>
              <w:jc w:val="center"/>
            </w:pPr>
            <w:r w:rsidRPr="00754142">
              <w:t>%</w:t>
            </w:r>
          </w:p>
        </w:tc>
      </w:tr>
      <w:tr w:rsidR="0072161C" w:rsidRPr="00754142" w:rsidTr="0072161C">
        <w:tc>
          <w:tcPr>
            <w:tcW w:w="106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w:t>
            </w:r>
          </w:p>
        </w:tc>
        <w:tc>
          <w:tcPr>
            <w:tcW w:w="750" w:type="dxa"/>
            <w:tcBorders>
              <w:top w:val="single" w:sz="4" w:space="0" w:color="auto"/>
              <w:left w:val="nil"/>
              <w:bottom w:val="single" w:sz="4" w:space="0" w:color="auto"/>
              <w:right w:val="nil"/>
            </w:tcBorders>
            <w:hideMark/>
          </w:tcPr>
          <w:p w:rsidR="000A7B70" w:rsidRPr="00754142" w:rsidRDefault="000A7B70" w:rsidP="000A7B70">
            <w:pPr>
              <w:jc w:val="center"/>
            </w:pPr>
            <w:r w:rsidRPr="00754142">
              <w:t>Anemia</w:t>
            </w:r>
          </w:p>
        </w:tc>
        <w:tc>
          <w:tcPr>
            <w:tcW w:w="39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18</w:t>
            </w:r>
          </w:p>
        </w:tc>
        <w:tc>
          <w:tcPr>
            <w:tcW w:w="480" w:type="dxa"/>
            <w:tcBorders>
              <w:top w:val="single" w:sz="4" w:space="0" w:color="auto"/>
              <w:left w:val="nil"/>
              <w:bottom w:val="single" w:sz="4" w:space="0" w:color="auto"/>
              <w:right w:val="nil"/>
            </w:tcBorders>
            <w:hideMark/>
          </w:tcPr>
          <w:p w:rsidR="000A7B70" w:rsidRPr="00754142" w:rsidRDefault="000A7B70" w:rsidP="000A7B70">
            <w:pPr>
              <w:jc w:val="center"/>
            </w:pPr>
            <w:r w:rsidRPr="00754142">
              <w:t>60</w:t>
            </w:r>
          </w:p>
        </w:tc>
        <w:tc>
          <w:tcPr>
            <w:tcW w:w="39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9</w:t>
            </w:r>
          </w:p>
        </w:tc>
        <w:tc>
          <w:tcPr>
            <w:tcW w:w="480" w:type="dxa"/>
            <w:tcBorders>
              <w:top w:val="single" w:sz="4" w:space="0" w:color="auto"/>
              <w:left w:val="nil"/>
              <w:bottom w:val="single" w:sz="4" w:space="0" w:color="auto"/>
              <w:right w:val="nil"/>
            </w:tcBorders>
            <w:hideMark/>
          </w:tcPr>
          <w:p w:rsidR="000A7B70" w:rsidRPr="00754142" w:rsidRDefault="000A7B70" w:rsidP="000A7B70">
            <w:pPr>
              <w:jc w:val="center"/>
            </w:pPr>
            <w:r w:rsidRPr="00754142">
              <w:t>30</w:t>
            </w:r>
          </w:p>
        </w:tc>
        <w:tc>
          <w:tcPr>
            <w:tcW w:w="39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27</w:t>
            </w:r>
          </w:p>
        </w:tc>
        <w:tc>
          <w:tcPr>
            <w:tcW w:w="480" w:type="dxa"/>
            <w:tcBorders>
              <w:top w:val="single" w:sz="4" w:space="0" w:color="auto"/>
              <w:left w:val="nil"/>
              <w:bottom w:val="single" w:sz="4" w:space="0" w:color="auto"/>
              <w:right w:val="nil"/>
            </w:tcBorders>
            <w:hideMark/>
          </w:tcPr>
          <w:p w:rsidR="000A7B70" w:rsidRPr="00754142" w:rsidRDefault="000A7B70" w:rsidP="000A7B70">
            <w:pPr>
              <w:jc w:val="center"/>
            </w:pPr>
            <w:r w:rsidRPr="00754142">
              <w:t>45</w:t>
            </w:r>
          </w:p>
        </w:tc>
      </w:tr>
      <w:tr w:rsidR="0072161C" w:rsidRPr="00754142" w:rsidTr="0072161C">
        <w:tc>
          <w:tcPr>
            <w:tcW w:w="106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2.</w:t>
            </w:r>
          </w:p>
        </w:tc>
        <w:tc>
          <w:tcPr>
            <w:tcW w:w="750" w:type="dxa"/>
            <w:tcBorders>
              <w:top w:val="single" w:sz="4" w:space="0" w:color="auto"/>
              <w:left w:val="nil"/>
              <w:bottom w:val="single" w:sz="4" w:space="0" w:color="auto"/>
              <w:right w:val="nil"/>
            </w:tcBorders>
            <w:hideMark/>
          </w:tcPr>
          <w:p w:rsidR="000A7B70" w:rsidRPr="00754142" w:rsidRDefault="000A7B70" w:rsidP="000A7B70">
            <w:pPr>
              <w:jc w:val="center"/>
            </w:pPr>
            <w:r w:rsidRPr="00754142">
              <w:t>Tidak Anemia</w:t>
            </w:r>
          </w:p>
        </w:tc>
        <w:tc>
          <w:tcPr>
            <w:tcW w:w="39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12</w:t>
            </w:r>
          </w:p>
        </w:tc>
        <w:tc>
          <w:tcPr>
            <w:tcW w:w="480" w:type="dxa"/>
            <w:tcBorders>
              <w:top w:val="single" w:sz="4" w:space="0" w:color="auto"/>
              <w:left w:val="nil"/>
              <w:bottom w:val="single" w:sz="4" w:space="0" w:color="auto"/>
              <w:right w:val="nil"/>
            </w:tcBorders>
            <w:hideMark/>
          </w:tcPr>
          <w:p w:rsidR="000A7B70" w:rsidRPr="00754142" w:rsidRDefault="000A7B70" w:rsidP="000A7B70">
            <w:pPr>
              <w:jc w:val="center"/>
            </w:pPr>
            <w:r w:rsidRPr="00754142">
              <w:t>40</w:t>
            </w:r>
          </w:p>
        </w:tc>
        <w:tc>
          <w:tcPr>
            <w:tcW w:w="39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21</w:t>
            </w:r>
          </w:p>
        </w:tc>
        <w:tc>
          <w:tcPr>
            <w:tcW w:w="480" w:type="dxa"/>
            <w:tcBorders>
              <w:top w:val="single" w:sz="4" w:space="0" w:color="auto"/>
              <w:left w:val="nil"/>
              <w:bottom w:val="single" w:sz="4" w:space="0" w:color="auto"/>
              <w:right w:val="nil"/>
            </w:tcBorders>
            <w:hideMark/>
          </w:tcPr>
          <w:p w:rsidR="000A7B70" w:rsidRPr="00754142" w:rsidRDefault="000A7B70" w:rsidP="000A7B70">
            <w:pPr>
              <w:jc w:val="center"/>
            </w:pPr>
            <w:r w:rsidRPr="00754142">
              <w:t>70</w:t>
            </w:r>
          </w:p>
        </w:tc>
        <w:tc>
          <w:tcPr>
            <w:tcW w:w="39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33</w:t>
            </w:r>
          </w:p>
        </w:tc>
        <w:tc>
          <w:tcPr>
            <w:tcW w:w="480" w:type="dxa"/>
            <w:tcBorders>
              <w:top w:val="single" w:sz="4" w:space="0" w:color="auto"/>
              <w:left w:val="nil"/>
              <w:bottom w:val="single" w:sz="4" w:space="0" w:color="auto"/>
              <w:right w:val="nil"/>
            </w:tcBorders>
            <w:hideMark/>
          </w:tcPr>
          <w:p w:rsidR="000A7B70" w:rsidRPr="00754142" w:rsidRDefault="000A7B70" w:rsidP="000A7B70">
            <w:pPr>
              <w:jc w:val="center"/>
            </w:pPr>
            <w:r w:rsidRPr="00754142">
              <w:t>55</w:t>
            </w:r>
          </w:p>
        </w:tc>
      </w:tr>
      <w:tr w:rsidR="00AB36BC" w:rsidRPr="00754142" w:rsidTr="0072161C">
        <w:tc>
          <w:tcPr>
            <w:tcW w:w="1812" w:type="dxa"/>
            <w:gridSpan w:val="2"/>
            <w:tcBorders>
              <w:top w:val="single" w:sz="4" w:space="0" w:color="auto"/>
              <w:left w:val="nil"/>
              <w:bottom w:val="single" w:sz="4" w:space="0" w:color="auto"/>
              <w:right w:val="nil"/>
            </w:tcBorders>
            <w:hideMark/>
          </w:tcPr>
          <w:p w:rsidR="000A7B70" w:rsidRPr="00754142" w:rsidRDefault="000A7B70" w:rsidP="000A7B70">
            <w:pPr>
              <w:jc w:val="center"/>
            </w:pPr>
            <w:r w:rsidRPr="00754142">
              <w:t>Total</w:t>
            </w:r>
          </w:p>
        </w:tc>
        <w:tc>
          <w:tcPr>
            <w:tcW w:w="39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30</w:t>
            </w:r>
          </w:p>
        </w:tc>
        <w:tc>
          <w:tcPr>
            <w:tcW w:w="480"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100</w:t>
            </w:r>
          </w:p>
        </w:tc>
        <w:tc>
          <w:tcPr>
            <w:tcW w:w="39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30</w:t>
            </w:r>
          </w:p>
        </w:tc>
        <w:tc>
          <w:tcPr>
            <w:tcW w:w="480"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100</w:t>
            </w:r>
          </w:p>
        </w:tc>
        <w:tc>
          <w:tcPr>
            <w:tcW w:w="39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60</w:t>
            </w:r>
          </w:p>
        </w:tc>
        <w:tc>
          <w:tcPr>
            <w:tcW w:w="480"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100</w:t>
            </w:r>
          </w:p>
        </w:tc>
      </w:tr>
    </w:tbl>
    <w:p w:rsidR="000A7B70" w:rsidRPr="00754142" w:rsidRDefault="000A7B70" w:rsidP="000A7B70">
      <w:pPr>
        <w:pStyle w:val="ListParagraph"/>
        <w:spacing w:after="0" w:line="240" w:lineRule="auto"/>
        <w:ind w:firstLine="720"/>
        <w:jc w:val="both"/>
        <w:rPr>
          <w:rFonts w:ascii="Times New Roman" w:hAnsi="Times New Roman" w:cs="Times New Roman"/>
          <w:sz w:val="24"/>
          <w:szCs w:val="24"/>
          <w:lang w:val="en-US"/>
        </w:rPr>
      </w:pPr>
    </w:p>
    <w:p w:rsidR="000A7B70" w:rsidRPr="00754142" w:rsidRDefault="000A7B70" w:rsidP="0072161C">
      <w:pPr>
        <w:pStyle w:val="ListParagraph"/>
        <w:spacing w:after="0" w:line="240" w:lineRule="auto"/>
        <w:ind w:left="0" w:firstLine="720"/>
        <w:jc w:val="both"/>
        <w:rPr>
          <w:rFonts w:ascii="Times New Roman" w:hAnsi="Times New Roman" w:cs="Times New Roman"/>
          <w:sz w:val="24"/>
          <w:szCs w:val="24"/>
        </w:rPr>
      </w:pPr>
      <w:r w:rsidRPr="00754142">
        <w:rPr>
          <w:rFonts w:ascii="Times New Roman" w:hAnsi="Times New Roman" w:cs="Times New Roman"/>
          <w:sz w:val="24"/>
          <w:szCs w:val="24"/>
        </w:rPr>
        <w:t>Berdasarkan tabel 4.3</w:t>
      </w:r>
      <w:r w:rsidRPr="00754142">
        <w:rPr>
          <w:rFonts w:ascii="Times New Roman" w:hAnsi="Times New Roman" w:cs="Times New Roman"/>
          <w:sz w:val="24"/>
          <w:szCs w:val="24"/>
          <w:lang w:val="en-US"/>
        </w:rPr>
        <w:t xml:space="preserve"> didapatkan bahwa </w:t>
      </w:r>
      <w:r w:rsidRPr="00754142">
        <w:rPr>
          <w:rFonts w:ascii="Times New Roman" w:hAnsi="Times New Roman" w:cs="Times New Roman"/>
          <w:sz w:val="24"/>
          <w:szCs w:val="24"/>
        </w:rPr>
        <w:t xml:space="preserve">dari </w:t>
      </w:r>
      <w:r w:rsidRPr="00754142">
        <w:rPr>
          <w:rFonts w:ascii="Times New Roman" w:hAnsi="Times New Roman" w:cs="Times New Roman"/>
          <w:sz w:val="24"/>
          <w:szCs w:val="24"/>
          <w:lang w:val="en-US"/>
        </w:rPr>
        <w:t xml:space="preserve">60 </w:t>
      </w:r>
      <w:r w:rsidRPr="00754142">
        <w:rPr>
          <w:rFonts w:ascii="Times New Roman" w:hAnsi="Times New Roman" w:cs="Times New Roman"/>
          <w:sz w:val="24"/>
          <w:szCs w:val="24"/>
        </w:rPr>
        <w:t>responden</w:t>
      </w:r>
      <w:r w:rsidRPr="00754142">
        <w:rPr>
          <w:rFonts w:ascii="Times New Roman" w:hAnsi="Times New Roman" w:cs="Times New Roman"/>
          <w:sz w:val="24"/>
          <w:szCs w:val="24"/>
          <w:lang w:val="en-US"/>
        </w:rPr>
        <w:t xml:space="preserve">, sebanyak 27 responden (45%) mengalami anemia dan </w:t>
      </w:r>
      <w:r w:rsidRPr="00754142">
        <w:rPr>
          <w:rFonts w:ascii="Times New Roman" w:hAnsi="Times New Roman" w:cs="Times New Roman"/>
          <w:sz w:val="24"/>
          <w:szCs w:val="24"/>
          <w:lang w:val="en-US"/>
        </w:rPr>
        <w:lastRenderedPageBreak/>
        <w:t>sebanyak 33 responden (55%) tidak mengalami anemia</w:t>
      </w:r>
      <w:r w:rsidRPr="00754142">
        <w:rPr>
          <w:rFonts w:ascii="Times New Roman" w:hAnsi="Times New Roman" w:cs="Times New Roman"/>
          <w:sz w:val="24"/>
          <w:szCs w:val="24"/>
        </w:rPr>
        <w:t>.</w:t>
      </w:r>
    </w:p>
    <w:p w:rsidR="0072161C" w:rsidRPr="00754142" w:rsidRDefault="0072161C" w:rsidP="0072161C">
      <w:pPr>
        <w:pStyle w:val="ListParagraph"/>
        <w:spacing w:after="0" w:line="240" w:lineRule="auto"/>
        <w:ind w:left="0"/>
        <w:jc w:val="both"/>
        <w:rPr>
          <w:rFonts w:ascii="Times New Roman" w:hAnsi="Times New Roman" w:cs="Times New Roman"/>
          <w:b/>
          <w:sz w:val="24"/>
          <w:szCs w:val="24"/>
        </w:rPr>
      </w:pPr>
    </w:p>
    <w:p w:rsidR="000A7B70" w:rsidRPr="00754142" w:rsidRDefault="0072161C" w:rsidP="0072161C">
      <w:pPr>
        <w:pStyle w:val="ListParagraph"/>
        <w:spacing w:after="0" w:line="240" w:lineRule="auto"/>
        <w:ind w:left="0"/>
        <w:jc w:val="both"/>
        <w:rPr>
          <w:rFonts w:ascii="Times New Roman" w:hAnsi="Times New Roman" w:cs="Times New Roman"/>
          <w:b/>
          <w:sz w:val="24"/>
          <w:szCs w:val="24"/>
          <w:lang w:val="en-US"/>
        </w:rPr>
      </w:pPr>
      <w:r w:rsidRPr="00754142">
        <w:rPr>
          <w:rFonts w:ascii="Times New Roman" w:hAnsi="Times New Roman" w:cs="Times New Roman"/>
          <w:b/>
          <w:sz w:val="24"/>
          <w:szCs w:val="24"/>
        </w:rPr>
        <w:t>K</w:t>
      </w:r>
      <w:r w:rsidR="000A7B70" w:rsidRPr="00754142">
        <w:rPr>
          <w:rFonts w:ascii="Times New Roman" w:hAnsi="Times New Roman" w:cs="Times New Roman"/>
          <w:b/>
          <w:sz w:val="24"/>
          <w:szCs w:val="24"/>
          <w:lang w:val="en-US"/>
        </w:rPr>
        <w:t>ejadian Berat Badan Lahir Rendah (BBLR)</w:t>
      </w:r>
      <w:r w:rsidR="000A7B70" w:rsidRPr="00754142">
        <w:rPr>
          <w:rFonts w:ascii="Times New Roman" w:hAnsi="Times New Roman" w:cs="Times New Roman"/>
          <w:b/>
          <w:sz w:val="24"/>
          <w:szCs w:val="24"/>
        </w:rPr>
        <w:t xml:space="preserve"> </w:t>
      </w:r>
    </w:p>
    <w:p w:rsidR="0072161C" w:rsidRPr="00754142" w:rsidRDefault="000A7B70" w:rsidP="0072161C">
      <w:pPr>
        <w:pStyle w:val="ListParagraph"/>
        <w:spacing w:after="0" w:line="240" w:lineRule="auto"/>
        <w:ind w:left="0" w:firstLine="540"/>
        <w:jc w:val="both"/>
        <w:rPr>
          <w:rFonts w:ascii="Times New Roman" w:hAnsi="Times New Roman" w:cs="Times New Roman"/>
          <w:sz w:val="24"/>
          <w:szCs w:val="24"/>
        </w:rPr>
      </w:pPr>
      <w:r w:rsidRPr="00754142">
        <w:rPr>
          <w:rFonts w:ascii="Times New Roman" w:hAnsi="Times New Roman" w:cs="Times New Roman"/>
          <w:sz w:val="24"/>
          <w:szCs w:val="24"/>
        </w:rPr>
        <w:t xml:space="preserve">Penilaian terhadap </w:t>
      </w:r>
      <w:r w:rsidRPr="00754142">
        <w:rPr>
          <w:rFonts w:ascii="Times New Roman" w:hAnsi="Times New Roman" w:cs="Times New Roman"/>
          <w:sz w:val="24"/>
          <w:szCs w:val="24"/>
          <w:lang w:val="en-US"/>
        </w:rPr>
        <w:t>kejadian Berat Badan Lahir Rendah (BBLR)</w:t>
      </w:r>
      <w:r w:rsidRPr="00754142">
        <w:rPr>
          <w:rFonts w:ascii="Times New Roman" w:hAnsi="Times New Roman" w:cs="Times New Roman"/>
          <w:sz w:val="24"/>
          <w:szCs w:val="24"/>
        </w:rPr>
        <w:t xml:space="preserve"> di RSUD Raden Mattaher Jambi Tahun 2016- 2017 diperoleh </w:t>
      </w:r>
      <w:r w:rsidRPr="00754142">
        <w:rPr>
          <w:rFonts w:ascii="Times New Roman" w:hAnsi="Times New Roman" w:cs="Times New Roman"/>
          <w:sz w:val="24"/>
          <w:szCs w:val="24"/>
          <w:lang w:val="en-US"/>
        </w:rPr>
        <w:t>dengan menggunakan lembar ceklis.</w:t>
      </w:r>
      <w:r w:rsidRPr="00754142">
        <w:rPr>
          <w:rFonts w:ascii="Times New Roman" w:hAnsi="Times New Roman" w:cs="Times New Roman"/>
          <w:sz w:val="24"/>
          <w:szCs w:val="24"/>
        </w:rPr>
        <w:t xml:space="preserve"> Hasil ukur yang ditetapkan untuk </w:t>
      </w:r>
      <w:r w:rsidRPr="00754142">
        <w:rPr>
          <w:rFonts w:ascii="Times New Roman" w:hAnsi="Times New Roman" w:cs="Times New Roman"/>
          <w:sz w:val="24"/>
          <w:szCs w:val="24"/>
          <w:lang w:val="en-US"/>
        </w:rPr>
        <w:t>BBLR dibagi menjadi dua yaitu BBLR dan tidak BBLR.</w:t>
      </w:r>
    </w:p>
    <w:p w:rsidR="000A7B70" w:rsidRPr="00754142" w:rsidRDefault="000A7B70" w:rsidP="0072161C">
      <w:pPr>
        <w:jc w:val="both"/>
      </w:pPr>
      <w:r w:rsidRPr="00754142">
        <w:rPr>
          <w:b/>
        </w:rPr>
        <w:t>Tabel 4.4</w:t>
      </w:r>
      <w:r w:rsidR="0072161C" w:rsidRPr="00754142">
        <w:rPr>
          <w:lang w:val="id-ID"/>
        </w:rPr>
        <w:t xml:space="preserve"> </w:t>
      </w:r>
      <w:r w:rsidRPr="00754142">
        <w:rPr>
          <w:b/>
        </w:rPr>
        <w:t xml:space="preserve">Distribusi Responden Berdasarkan Kejadian Berat Badan Lahir Rendah (BBLR) di RSUD Raden Mattaher </w:t>
      </w:r>
      <w:proofErr w:type="gramStart"/>
      <w:r w:rsidRPr="00754142">
        <w:rPr>
          <w:b/>
        </w:rPr>
        <w:t xml:space="preserve">Jambi </w:t>
      </w:r>
      <w:r w:rsidR="0072161C" w:rsidRPr="00754142">
        <w:rPr>
          <w:lang w:val="id-ID"/>
        </w:rPr>
        <w:t xml:space="preserve"> </w:t>
      </w:r>
      <w:r w:rsidRPr="00754142">
        <w:rPr>
          <w:b/>
        </w:rPr>
        <w:t>Tahun</w:t>
      </w:r>
      <w:proofErr w:type="gramEnd"/>
      <w:r w:rsidRPr="00754142">
        <w:rPr>
          <w:b/>
        </w:rPr>
        <w:t xml:space="preserve"> 2016- 2017</w:t>
      </w:r>
    </w:p>
    <w:tbl>
      <w:tblPr>
        <w:tblStyle w:val="TableGrid"/>
        <w:tblW w:w="0" w:type="auto"/>
        <w:tblInd w:w="108" w:type="dxa"/>
        <w:tblLook w:val="04A0" w:firstRow="1" w:lastRow="0" w:firstColumn="1" w:lastColumn="0" w:noHBand="0" w:noVBand="1"/>
      </w:tblPr>
      <w:tblGrid>
        <w:gridCol w:w="1167"/>
        <w:gridCol w:w="1196"/>
        <w:gridCol w:w="1042"/>
        <w:gridCol w:w="1023"/>
      </w:tblGrid>
      <w:tr w:rsidR="000A7B70" w:rsidRPr="00754142" w:rsidTr="0072161C">
        <w:trPr>
          <w:trHeight w:val="587"/>
        </w:trPr>
        <w:tc>
          <w:tcPr>
            <w:tcW w:w="1167" w:type="dxa"/>
            <w:tcBorders>
              <w:top w:val="single" w:sz="4" w:space="0" w:color="auto"/>
              <w:left w:val="nil"/>
              <w:bottom w:val="single" w:sz="4" w:space="0" w:color="auto"/>
              <w:right w:val="nil"/>
            </w:tcBorders>
            <w:hideMark/>
          </w:tcPr>
          <w:p w:rsidR="000A7B70" w:rsidRPr="00754142" w:rsidRDefault="000A7B70" w:rsidP="000A7B70">
            <w:pPr>
              <w:jc w:val="center"/>
            </w:pPr>
            <w:r w:rsidRPr="00754142">
              <w:t>No.</w:t>
            </w:r>
          </w:p>
        </w:tc>
        <w:tc>
          <w:tcPr>
            <w:tcW w:w="1196" w:type="dxa"/>
            <w:tcBorders>
              <w:top w:val="single" w:sz="4" w:space="0" w:color="auto"/>
              <w:left w:val="nil"/>
              <w:bottom w:val="single" w:sz="4" w:space="0" w:color="auto"/>
              <w:right w:val="nil"/>
            </w:tcBorders>
            <w:hideMark/>
          </w:tcPr>
          <w:p w:rsidR="000A7B70" w:rsidRPr="00754142" w:rsidRDefault="000A7B70" w:rsidP="000A7B70">
            <w:pPr>
              <w:jc w:val="center"/>
            </w:pPr>
            <w:r w:rsidRPr="00754142">
              <w:t>Kejadian BBLR</w:t>
            </w:r>
          </w:p>
        </w:tc>
        <w:tc>
          <w:tcPr>
            <w:tcW w:w="104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Jumlah (n)</w:t>
            </w:r>
          </w:p>
        </w:tc>
        <w:tc>
          <w:tcPr>
            <w:tcW w:w="102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Persen (%)</w:t>
            </w:r>
          </w:p>
        </w:tc>
      </w:tr>
      <w:tr w:rsidR="000A7B70" w:rsidRPr="00754142" w:rsidTr="0072161C">
        <w:tc>
          <w:tcPr>
            <w:tcW w:w="1167"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w:t>
            </w:r>
          </w:p>
        </w:tc>
        <w:tc>
          <w:tcPr>
            <w:tcW w:w="1196" w:type="dxa"/>
            <w:tcBorders>
              <w:top w:val="single" w:sz="4" w:space="0" w:color="auto"/>
              <w:left w:val="nil"/>
              <w:bottom w:val="single" w:sz="4" w:space="0" w:color="auto"/>
              <w:right w:val="nil"/>
            </w:tcBorders>
            <w:hideMark/>
          </w:tcPr>
          <w:p w:rsidR="000A7B70" w:rsidRPr="00754142" w:rsidRDefault="000A7B70" w:rsidP="000A7B70">
            <w:pPr>
              <w:jc w:val="center"/>
            </w:pPr>
            <w:r w:rsidRPr="00754142">
              <w:t>BBLR</w:t>
            </w:r>
          </w:p>
        </w:tc>
        <w:tc>
          <w:tcPr>
            <w:tcW w:w="104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30</w:t>
            </w:r>
          </w:p>
        </w:tc>
        <w:tc>
          <w:tcPr>
            <w:tcW w:w="102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50</w:t>
            </w:r>
          </w:p>
        </w:tc>
      </w:tr>
      <w:tr w:rsidR="000A7B70" w:rsidRPr="00754142" w:rsidTr="0072161C">
        <w:tc>
          <w:tcPr>
            <w:tcW w:w="1167" w:type="dxa"/>
            <w:tcBorders>
              <w:top w:val="single" w:sz="4" w:space="0" w:color="auto"/>
              <w:left w:val="nil"/>
              <w:bottom w:val="single" w:sz="4" w:space="0" w:color="auto"/>
              <w:right w:val="nil"/>
            </w:tcBorders>
            <w:hideMark/>
          </w:tcPr>
          <w:p w:rsidR="000A7B70" w:rsidRPr="00754142" w:rsidRDefault="000A7B70" w:rsidP="000A7B70">
            <w:pPr>
              <w:jc w:val="center"/>
            </w:pPr>
            <w:r w:rsidRPr="00754142">
              <w:t>2.</w:t>
            </w:r>
          </w:p>
        </w:tc>
        <w:tc>
          <w:tcPr>
            <w:tcW w:w="1196" w:type="dxa"/>
            <w:tcBorders>
              <w:top w:val="single" w:sz="4" w:space="0" w:color="auto"/>
              <w:left w:val="nil"/>
              <w:bottom w:val="single" w:sz="4" w:space="0" w:color="auto"/>
              <w:right w:val="nil"/>
            </w:tcBorders>
            <w:hideMark/>
          </w:tcPr>
          <w:p w:rsidR="000A7B70" w:rsidRPr="00754142" w:rsidRDefault="000A7B70" w:rsidP="000A7B70">
            <w:pPr>
              <w:jc w:val="center"/>
            </w:pPr>
            <w:r w:rsidRPr="00754142">
              <w:t>Tidak BBLR</w:t>
            </w:r>
          </w:p>
        </w:tc>
        <w:tc>
          <w:tcPr>
            <w:tcW w:w="104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30</w:t>
            </w:r>
          </w:p>
        </w:tc>
        <w:tc>
          <w:tcPr>
            <w:tcW w:w="102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50</w:t>
            </w:r>
          </w:p>
        </w:tc>
      </w:tr>
      <w:tr w:rsidR="000A7B70" w:rsidRPr="00754142" w:rsidTr="0072161C">
        <w:tc>
          <w:tcPr>
            <w:tcW w:w="2363" w:type="dxa"/>
            <w:gridSpan w:val="2"/>
            <w:tcBorders>
              <w:top w:val="single" w:sz="4" w:space="0" w:color="auto"/>
              <w:left w:val="nil"/>
              <w:bottom w:val="single" w:sz="4" w:space="0" w:color="auto"/>
              <w:right w:val="nil"/>
            </w:tcBorders>
            <w:hideMark/>
          </w:tcPr>
          <w:p w:rsidR="000A7B70" w:rsidRPr="00754142" w:rsidRDefault="000A7B70" w:rsidP="000A7B70">
            <w:pPr>
              <w:jc w:val="center"/>
            </w:pPr>
            <w:r w:rsidRPr="00754142">
              <w:t>Total</w:t>
            </w:r>
          </w:p>
        </w:tc>
        <w:tc>
          <w:tcPr>
            <w:tcW w:w="1042" w:type="dxa"/>
            <w:tcBorders>
              <w:top w:val="single" w:sz="4" w:space="0" w:color="auto"/>
              <w:left w:val="nil"/>
              <w:bottom w:val="single" w:sz="4" w:space="0" w:color="auto"/>
              <w:right w:val="nil"/>
            </w:tcBorders>
            <w:hideMark/>
          </w:tcPr>
          <w:p w:rsidR="000A7B70" w:rsidRPr="00754142" w:rsidRDefault="000A7B70" w:rsidP="000A7B70">
            <w:pPr>
              <w:jc w:val="center"/>
            </w:pPr>
            <w:r w:rsidRPr="00754142">
              <w:t>60</w:t>
            </w:r>
          </w:p>
        </w:tc>
        <w:tc>
          <w:tcPr>
            <w:tcW w:w="1023" w:type="dxa"/>
            <w:tcBorders>
              <w:top w:val="single" w:sz="4" w:space="0" w:color="auto"/>
              <w:left w:val="nil"/>
              <w:bottom w:val="single" w:sz="4" w:space="0" w:color="auto"/>
              <w:right w:val="nil"/>
            </w:tcBorders>
            <w:hideMark/>
          </w:tcPr>
          <w:p w:rsidR="000A7B70" w:rsidRPr="00754142" w:rsidRDefault="000A7B70" w:rsidP="000A7B70">
            <w:pPr>
              <w:jc w:val="center"/>
            </w:pPr>
            <w:r w:rsidRPr="00754142">
              <w:t>100</w:t>
            </w:r>
          </w:p>
        </w:tc>
      </w:tr>
    </w:tbl>
    <w:p w:rsidR="000A7B70" w:rsidRPr="00754142" w:rsidRDefault="000A7B70" w:rsidP="000A7B70">
      <w:pPr>
        <w:rPr>
          <w:rFonts w:eastAsiaTheme="minorHAnsi"/>
          <w:lang w:val="id-ID"/>
        </w:rPr>
      </w:pPr>
    </w:p>
    <w:p w:rsidR="000A7B70" w:rsidRPr="00754142" w:rsidRDefault="000A7B70" w:rsidP="0072161C">
      <w:pPr>
        <w:pStyle w:val="ListParagraph"/>
        <w:spacing w:after="0" w:line="240" w:lineRule="auto"/>
        <w:ind w:left="0" w:firstLine="720"/>
        <w:jc w:val="both"/>
        <w:rPr>
          <w:rFonts w:ascii="Times New Roman" w:hAnsi="Times New Roman" w:cs="Times New Roman"/>
          <w:sz w:val="24"/>
          <w:szCs w:val="24"/>
          <w:lang w:val="en-US"/>
        </w:rPr>
      </w:pPr>
      <w:r w:rsidRPr="00754142">
        <w:rPr>
          <w:rFonts w:ascii="Times New Roman" w:hAnsi="Times New Roman" w:cs="Times New Roman"/>
          <w:sz w:val="24"/>
          <w:szCs w:val="24"/>
        </w:rPr>
        <w:t>Berdasarkan tabel 4.4</w:t>
      </w:r>
      <w:r w:rsidRPr="00754142">
        <w:rPr>
          <w:rFonts w:ascii="Times New Roman" w:hAnsi="Times New Roman" w:cs="Times New Roman"/>
          <w:sz w:val="24"/>
          <w:szCs w:val="24"/>
          <w:lang w:val="en-US"/>
        </w:rPr>
        <w:t xml:space="preserve"> didapatkan bahwa </w:t>
      </w:r>
      <w:r w:rsidRPr="00754142">
        <w:rPr>
          <w:rFonts w:ascii="Times New Roman" w:hAnsi="Times New Roman" w:cs="Times New Roman"/>
          <w:sz w:val="24"/>
          <w:szCs w:val="24"/>
        </w:rPr>
        <w:t xml:space="preserve">dari </w:t>
      </w:r>
      <w:r w:rsidRPr="00754142">
        <w:rPr>
          <w:rFonts w:ascii="Times New Roman" w:hAnsi="Times New Roman" w:cs="Times New Roman"/>
          <w:sz w:val="24"/>
          <w:szCs w:val="24"/>
          <w:lang w:val="en-US"/>
        </w:rPr>
        <w:t xml:space="preserve">60 </w:t>
      </w:r>
      <w:r w:rsidRPr="00754142">
        <w:rPr>
          <w:rFonts w:ascii="Times New Roman" w:hAnsi="Times New Roman" w:cs="Times New Roman"/>
          <w:sz w:val="24"/>
          <w:szCs w:val="24"/>
        </w:rPr>
        <w:t>responden</w:t>
      </w:r>
      <w:r w:rsidRPr="00754142">
        <w:rPr>
          <w:rFonts w:ascii="Times New Roman" w:hAnsi="Times New Roman" w:cs="Times New Roman"/>
          <w:sz w:val="24"/>
          <w:szCs w:val="24"/>
          <w:lang w:val="en-US"/>
        </w:rPr>
        <w:t>, sebanyak 30 responden (50%) dengan BBLR dan sebanyak 30 responden (50%) tidak BBLR.</w:t>
      </w:r>
    </w:p>
    <w:p w:rsidR="0072161C" w:rsidRPr="00754142" w:rsidRDefault="0072161C" w:rsidP="0072161C">
      <w:pPr>
        <w:pStyle w:val="ListParagraph"/>
        <w:spacing w:after="0" w:line="240" w:lineRule="auto"/>
        <w:ind w:left="0"/>
        <w:jc w:val="both"/>
        <w:rPr>
          <w:rFonts w:ascii="Times New Roman" w:hAnsi="Times New Roman" w:cs="Times New Roman"/>
          <w:b/>
          <w:sz w:val="24"/>
          <w:szCs w:val="24"/>
        </w:rPr>
      </w:pPr>
    </w:p>
    <w:p w:rsidR="000A7B70" w:rsidRPr="00754142" w:rsidRDefault="000A7B70" w:rsidP="0072161C">
      <w:pPr>
        <w:pStyle w:val="ListParagraph"/>
        <w:spacing w:after="0" w:line="240" w:lineRule="auto"/>
        <w:ind w:left="0"/>
        <w:jc w:val="both"/>
        <w:rPr>
          <w:rFonts w:ascii="Times New Roman" w:hAnsi="Times New Roman" w:cs="Times New Roman"/>
          <w:b/>
          <w:sz w:val="24"/>
          <w:szCs w:val="24"/>
        </w:rPr>
      </w:pPr>
      <w:r w:rsidRPr="00754142">
        <w:rPr>
          <w:rFonts w:ascii="Times New Roman" w:hAnsi="Times New Roman" w:cs="Times New Roman"/>
          <w:b/>
          <w:sz w:val="24"/>
          <w:szCs w:val="24"/>
          <w:lang w:val="en-US"/>
        </w:rPr>
        <w:t xml:space="preserve">Hubungan </w:t>
      </w:r>
      <w:r w:rsidRPr="00754142">
        <w:rPr>
          <w:rFonts w:ascii="Times New Roman" w:hAnsi="Times New Roman" w:cs="Times New Roman"/>
          <w:b/>
          <w:sz w:val="24"/>
          <w:szCs w:val="24"/>
        </w:rPr>
        <w:t xml:space="preserve">Umur Dengan Kejadian BBLR </w:t>
      </w:r>
      <w:r w:rsidRPr="00754142">
        <w:rPr>
          <w:rFonts w:ascii="Times New Roman" w:hAnsi="Times New Roman" w:cs="Times New Roman"/>
          <w:b/>
          <w:sz w:val="24"/>
          <w:szCs w:val="24"/>
          <w:lang w:val="en-US"/>
        </w:rPr>
        <w:t>d</w:t>
      </w:r>
      <w:r w:rsidRPr="00754142">
        <w:rPr>
          <w:rFonts w:ascii="Times New Roman" w:hAnsi="Times New Roman" w:cs="Times New Roman"/>
          <w:b/>
          <w:sz w:val="24"/>
          <w:szCs w:val="24"/>
        </w:rPr>
        <w:t>i RSUD Raden Mattaher Jambi Tahun 2016- 2017</w:t>
      </w:r>
    </w:p>
    <w:p w:rsidR="000A7B70" w:rsidRPr="00754142" w:rsidRDefault="000A7B70" w:rsidP="0072161C">
      <w:pPr>
        <w:pStyle w:val="ListParagraph"/>
        <w:spacing w:line="240" w:lineRule="auto"/>
        <w:ind w:left="0" w:firstLine="654"/>
        <w:jc w:val="both"/>
        <w:rPr>
          <w:rFonts w:ascii="Times New Roman" w:hAnsi="Times New Roman" w:cs="Times New Roman"/>
          <w:sz w:val="24"/>
          <w:szCs w:val="24"/>
        </w:rPr>
      </w:pPr>
      <w:r w:rsidRPr="00754142">
        <w:rPr>
          <w:rFonts w:ascii="Times New Roman" w:hAnsi="Times New Roman" w:cs="Times New Roman"/>
          <w:sz w:val="24"/>
          <w:szCs w:val="24"/>
        </w:rPr>
        <w:t xml:space="preserve">Berdasarkan </w:t>
      </w:r>
      <w:r w:rsidR="0072161C" w:rsidRPr="00754142">
        <w:rPr>
          <w:rFonts w:ascii="Times New Roman" w:hAnsi="Times New Roman" w:cs="Times New Roman"/>
          <w:sz w:val="24"/>
          <w:szCs w:val="24"/>
        </w:rPr>
        <w:t>hasil penelitian</w:t>
      </w:r>
      <w:r w:rsidRPr="00754142">
        <w:rPr>
          <w:rFonts w:ascii="Times New Roman" w:hAnsi="Times New Roman" w:cs="Times New Roman"/>
          <w:sz w:val="24"/>
          <w:szCs w:val="24"/>
        </w:rPr>
        <w:t xml:space="preserve"> diketahui bahwa dari </w:t>
      </w:r>
      <w:r w:rsidRPr="00754142">
        <w:rPr>
          <w:rFonts w:ascii="Times New Roman" w:hAnsi="Times New Roman" w:cs="Times New Roman"/>
          <w:sz w:val="24"/>
          <w:szCs w:val="24"/>
          <w:lang w:val="en-US"/>
        </w:rPr>
        <w:t>14 responden dengan usia berisiko, 9 responden (64,3%) dengan BBLR dan 5 responden (35,7%) tidak BBLR. D</w:t>
      </w:r>
      <w:r w:rsidRPr="00754142">
        <w:rPr>
          <w:rFonts w:ascii="Times New Roman" w:hAnsi="Times New Roman" w:cs="Times New Roman"/>
          <w:sz w:val="24"/>
          <w:szCs w:val="24"/>
        </w:rPr>
        <w:t xml:space="preserve">ari </w:t>
      </w:r>
      <w:r w:rsidRPr="00754142">
        <w:rPr>
          <w:rFonts w:ascii="Times New Roman" w:hAnsi="Times New Roman" w:cs="Times New Roman"/>
          <w:sz w:val="24"/>
          <w:szCs w:val="24"/>
          <w:lang w:val="en-US"/>
        </w:rPr>
        <w:t>46 responden dengan usia berisiko, 21 responden (45</w:t>
      </w:r>
      <w:proofErr w:type="gramStart"/>
      <w:r w:rsidRPr="00754142">
        <w:rPr>
          <w:rFonts w:ascii="Times New Roman" w:hAnsi="Times New Roman" w:cs="Times New Roman"/>
          <w:sz w:val="24"/>
          <w:szCs w:val="24"/>
          <w:lang w:val="en-US"/>
        </w:rPr>
        <w:t>,7</w:t>
      </w:r>
      <w:proofErr w:type="gramEnd"/>
      <w:r w:rsidRPr="00754142">
        <w:rPr>
          <w:rFonts w:ascii="Times New Roman" w:hAnsi="Times New Roman" w:cs="Times New Roman"/>
          <w:sz w:val="24"/>
          <w:szCs w:val="24"/>
          <w:lang w:val="en-US"/>
        </w:rPr>
        <w:t xml:space="preserve">%) dengan BBLR dan 25 responden (54,3%) tidak BBLR. </w:t>
      </w:r>
    </w:p>
    <w:p w:rsidR="000A7B70" w:rsidRPr="00754142" w:rsidRDefault="000A7B70" w:rsidP="0072161C">
      <w:pPr>
        <w:pStyle w:val="ListParagraph"/>
        <w:spacing w:line="240" w:lineRule="auto"/>
        <w:ind w:left="0" w:firstLine="654"/>
        <w:jc w:val="both"/>
        <w:rPr>
          <w:rFonts w:ascii="Times New Roman" w:hAnsi="Times New Roman" w:cs="Times New Roman"/>
          <w:sz w:val="24"/>
          <w:szCs w:val="24"/>
          <w:lang w:val="en-US"/>
        </w:rPr>
      </w:pPr>
      <w:r w:rsidRPr="00754142">
        <w:rPr>
          <w:rFonts w:ascii="Times New Roman" w:hAnsi="Times New Roman" w:cs="Times New Roman"/>
          <w:sz w:val="24"/>
          <w:szCs w:val="24"/>
          <w:lang w:val="en-US"/>
        </w:rPr>
        <w:t xml:space="preserve">Setelah dianalisis dengan menggunakan uji statistik </w:t>
      </w:r>
      <w:r w:rsidRPr="00754142">
        <w:rPr>
          <w:rFonts w:ascii="Times New Roman" w:hAnsi="Times New Roman" w:cs="Times New Roman"/>
          <w:i/>
          <w:sz w:val="24"/>
          <w:szCs w:val="24"/>
          <w:lang w:val="en-US"/>
        </w:rPr>
        <w:t>chi-square</w:t>
      </w:r>
      <w:r w:rsidRPr="00754142">
        <w:rPr>
          <w:rFonts w:ascii="Times New Roman" w:hAnsi="Times New Roman" w:cs="Times New Roman"/>
          <w:sz w:val="24"/>
          <w:szCs w:val="24"/>
          <w:lang w:val="en-US"/>
        </w:rPr>
        <w:t xml:space="preserve"> ternyata ditetapkan nilai p = 0,360 (p&gt;0</w:t>
      </w:r>
      <w:proofErr w:type="gramStart"/>
      <w:r w:rsidRPr="00754142">
        <w:rPr>
          <w:rFonts w:ascii="Times New Roman" w:hAnsi="Times New Roman" w:cs="Times New Roman"/>
          <w:sz w:val="24"/>
          <w:szCs w:val="24"/>
          <w:lang w:val="en-US"/>
        </w:rPr>
        <w:t>,05</w:t>
      </w:r>
      <w:proofErr w:type="gramEnd"/>
      <w:r w:rsidRPr="00754142">
        <w:rPr>
          <w:rFonts w:ascii="Times New Roman" w:hAnsi="Times New Roman" w:cs="Times New Roman"/>
          <w:sz w:val="24"/>
          <w:szCs w:val="24"/>
          <w:lang w:val="en-US"/>
        </w:rPr>
        <w:t xml:space="preserve">). </w:t>
      </w:r>
      <w:proofErr w:type="gramStart"/>
      <w:r w:rsidRPr="00754142">
        <w:rPr>
          <w:rFonts w:ascii="Times New Roman" w:hAnsi="Times New Roman" w:cs="Times New Roman"/>
          <w:sz w:val="24"/>
          <w:szCs w:val="24"/>
          <w:lang w:val="en-US"/>
        </w:rPr>
        <w:t xml:space="preserve">Hal ini menunjukkan bahwa tidak terdapat hubungan yang bermakna antara </w:t>
      </w:r>
      <w:r w:rsidRPr="00754142">
        <w:rPr>
          <w:rFonts w:ascii="Times New Roman" w:hAnsi="Times New Roman" w:cs="Times New Roman"/>
          <w:sz w:val="24"/>
          <w:szCs w:val="24"/>
        </w:rPr>
        <w:t xml:space="preserve">umur dengan kejadian BBLR </w:t>
      </w:r>
      <w:r w:rsidRPr="00754142">
        <w:rPr>
          <w:rFonts w:ascii="Times New Roman" w:hAnsi="Times New Roman" w:cs="Times New Roman"/>
          <w:sz w:val="24"/>
          <w:szCs w:val="24"/>
          <w:lang w:val="en-US"/>
        </w:rPr>
        <w:t>d</w:t>
      </w:r>
      <w:r w:rsidRPr="00754142">
        <w:rPr>
          <w:rFonts w:ascii="Times New Roman" w:hAnsi="Times New Roman" w:cs="Times New Roman"/>
          <w:sz w:val="24"/>
          <w:szCs w:val="24"/>
        </w:rPr>
        <w:t>i RSUD Raden Mattaher Jambi Tahun 2016- 2017</w:t>
      </w:r>
      <w:r w:rsidRPr="00754142">
        <w:rPr>
          <w:rFonts w:ascii="Times New Roman" w:hAnsi="Times New Roman" w:cs="Times New Roman"/>
          <w:sz w:val="24"/>
          <w:szCs w:val="24"/>
          <w:lang w:val="en-US"/>
        </w:rPr>
        <w:t>.</w:t>
      </w:r>
      <w:proofErr w:type="gramEnd"/>
      <w:r w:rsidRPr="00754142">
        <w:rPr>
          <w:rFonts w:ascii="Times New Roman" w:hAnsi="Times New Roman" w:cs="Times New Roman"/>
          <w:sz w:val="24"/>
          <w:szCs w:val="24"/>
          <w:lang w:val="en-US"/>
        </w:rPr>
        <w:t xml:space="preserve"> </w:t>
      </w:r>
      <w:proofErr w:type="gramStart"/>
      <w:r w:rsidRPr="00754142">
        <w:rPr>
          <w:rFonts w:ascii="Times New Roman" w:hAnsi="Times New Roman" w:cs="Times New Roman"/>
          <w:sz w:val="24"/>
          <w:szCs w:val="24"/>
          <w:lang w:val="en-US"/>
        </w:rPr>
        <w:t xml:space="preserve">Dari </w:t>
      </w:r>
      <w:r w:rsidRPr="00754142">
        <w:rPr>
          <w:rFonts w:ascii="Times New Roman" w:hAnsi="Times New Roman" w:cs="Times New Roman"/>
          <w:sz w:val="24"/>
          <w:szCs w:val="24"/>
          <w:lang w:val="en-US"/>
        </w:rPr>
        <w:lastRenderedPageBreak/>
        <w:t xml:space="preserve">table tersebut juga kita dapat melihat nilai </w:t>
      </w:r>
      <w:r w:rsidRPr="00754142">
        <w:rPr>
          <w:rFonts w:ascii="Times New Roman" w:hAnsi="Times New Roman" w:cs="Times New Roman"/>
          <w:i/>
          <w:sz w:val="24"/>
          <w:szCs w:val="24"/>
          <w:lang w:val="en-US"/>
        </w:rPr>
        <w:t>Odd Ratio</w:t>
      </w:r>
      <w:r w:rsidRPr="00754142">
        <w:rPr>
          <w:rFonts w:ascii="Times New Roman" w:hAnsi="Times New Roman" w:cs="Times New Roman"/>
          <w:sz w:val="24"/>
          <w:szCs w:val="24"/>
          <w:lang w:val="en-US"/>
        </w:rPr>
        <w:t xml:space="preserve"> (OR) yaitu sebesar 2,143.</w:t>
      </w:r>
      <w:proofErr w:type="gramEnd"/>
      <w:r w:rsidRPr="00754142">
        <w:rPr>
          <w:rFonts w:ascii="Times New Roman" w:hAnsi="Times New Roman" w:cs="Times New Roman"/>
          <w:sz w:val="24"/>
          <w:szCs w:val="24"/>
          <w:lang w:val="en-US"/>
        </w:rPr>
        <w:t xml:space="preserve"> Nilai OR &gt; 1 yang berarti ibu </w:t>
      </w:r>
      <w:r w:rsidRPr="00754142">
        <w:rPr>
          <w:rFonts w:ascii="Times New Roman" w:hAnsi="Times New Roman" w:cs="Times New Roman"/>
          <w:sz w:val="24"/>
          <w:szCs w:val="24"/>
        </w:rPr>
        <w:t xml:space="preserve">dengan </w:t>
      </w:r>
      <w:proofErr w:type="gramStart"/>
      <w:r w:rsidRPr="00754142">
        <w:rPr>
          <w:rFonts w:ascii="Times New Roman" w:hAnsi="Times New Roman" w:cs="Times New Roman"/>
          <w:sz w:val="24"/>
          <w:szCs w:val="24"/>
          <w:lang w:val="en-US"/>
        </w:rPr>
        <w:t>usia</w:t>
      </w:r>
      <w:proofErr w:type="gramEnd"/>
      <w:r w:rsidRPr="00754142">
        <w:rPr>
          <w:rFonts w:ascii="Times New Roman" w:hAnsi="Times New Roman" w:cs="Times New Roman"/>
          <w:sz w:val="24"/>
          <w:szCs w:val="24"/>
          <w:lang w:val="en-US"/>
        </w:rPr>
        <w:t xml:space="preserve"> tidak berisiko tidak berpeluang terjadinya BBLR sebanyak 2,143 kali.</w:t>
      </w:r>
    </w:p>
    <w:p w:rsidR="000A7B70" w:rsidRPr="00754142" w:rsidRDefault="000A7B70" w:rsidP="0072161C">
      <w:pPr>
        <w:jc w:val="both"/>
        <w:rPr>
          <w:b/>
        </w:rPr>
      </w:pPr>
      <w:r w:rsidRPr="00754142">
        <w:rPr>
          <w:b/>
        </w:rPr>
        <w:t>Hubungan Paritas Dengan Kejadian BBLR di RSUD Raden Mattaher Jambi Tahun 2016- 2017</w:t>
      </w:r>
    </w:p>
    <w:p w:rsidR="000A7B70" w:rsidRPr="00754142" w:rsidRDefault="000A7B70" w:rsidP="0072161C">
      <w:pPr>
        <w:pStyle w:val="ListParagraph"/>
        <w:spacing w:line="240" w:lineRule="auto"/>
        <w:ind w:left="0" w:firstLine="654"/>
        <w:jc w:val="both"/>
        <w:rPr>
          <w:rFonts w:ascii="Times New Roman" w:hAnsi="Times New Roman" w:cs="Times New Roman"/>
          <w:sz w:val="24"/>
          <w:szCs w:val="24"/>
        </w:rPr>
      </w:pPr>
      <w:r w:rsidRPr="00754142">
        <w:rPr>
          <w:rFonts w:ascii="Times New Roman" w:hAnsi="Times New Roman" w:cs="Times New Roman"/>
          <w:sz w:val="24"/>
          <w:szCs w:val="24"/>
        </w:rPr>
        <w:t xml:space="preserve">Berdasarkan </w:t>
      </w:r>
      <w:r w:rsidR="0072161C" w:rsidRPr="00754142">
        <w:rPr>
          <w:rFonts w:ascii="Times New Roman" w:hAnsi="Times New Roman" w:cs="Times New Roman"/>
          <w:sz w:val="24"/>
          <w:szCs w:val="24"/>
        </w:rPr>
        <w:t>hasil penelitian</w:t>
      </w:r>
      <w:r w:rsidRPr="00754142">
        <w:rPr>
          <w:rFonts w:ascii="Times New Roman" w:hAnsi="Times New Roman" w:cs="Times New Roman"/>
          <w:sz w:val="24"/>
          <w:szCs w:val="24"/>
        </w:rPr>
        <w:t xml:space="preserve"> diketahui bahwa dari </w:t>
      </w:r>
      <w:r w:rsidRPr="00754142">
        <w:rPr>
          <w:rFonts w:ascii="Times New Roman" w:hAnsi="Times New Roman" w:cs="Times New Roman"/>
          <w:sz w:val="24"/>
          <w:szCs w:val="24"/>
          <w:lang w:val="en-US"/>
        </w:rPr>
        <w:t>33 responden dengan usia berisiko, 22 responden (66,7%) dengan BBLR dan 11 responden (33,3%) tidak BBLR. D</w:t>
      </w:r>
      <w:r w:rsidRPr="00754142">
        <w:rPr>
          <w:rFonts w:ascii="Times New Roman" w:hAnsi="Times New Roman" w:cs="Times New Roman"/>
          <w:sz w:val="24"/>
          <w:szCs w:val="24"/>
        </w:rPr>
        <w:t xml:space="preserve">ari </w:t>
      </w:r>
      <w:r w:rsidRPr="00754142">
        <w:rPr>
          <w:rFonts w:ascii="Times New Roman" w:hAnsi="Times New Roman" w:cs="Times New Roman"/>
          <w:sz w:val="24"/>
          <w:szCs w:val="24"/>
          <w:lang w:val="en-US"/>
        </w:rPr>
        <w:t>27 responden dengan usia berisiko, 8 responden (29</w:t>
      </w:r>
      <w:proofErr w:type="gramStart"/>
      <w:r w:rsidRPr="00754142">
        <w:rPr>
          <w:rFonts w:ascii="Times New Roman" w:hAnsi="Times New Roman" w:cs="Times New Roman"/>
          <w:sz w:val="24"/>
          <w:szCs w:val="24"/>
          <w:lang w:val="en-US"/>
        </w:rPr>
        <w:t>,6</w:t>
      </w:r>
      <w:proofErr w:type="gramEnd"/>
      <w:r w:rsidRPr="00754142">
        <w:rPr>
          <w:rFonts w:ascii="Times New Roman" w:hAnsi="Times New Roman" w:cs="Times New Roman"/>
          <w:sz w:val="24"/>
          <w:szCs w:val="24"/>
          <w:lang w:val="en-US"/>
        </w:rPr>
        <w:t xml:space="preserve">%) dengan BBLR dan 19 responden (70,4%) tidak BBLR. </w:t>
      </w:r>
    </w:p>
    <w:p w:rsidR="000A7B70" w:rsidRPr="00754142" w:rsidRDefault="000A7B70" w:rsidP="0072161C">
      <w:pPr>
        <w:pStyle w:val="ListParagraph"/>
        <w:spacing w:line="240" w:lineRule="auto"/>
        <w:ind w:left="0" w:firstLine="654"/>
        <w:jc w:val="both"/>
        <w:rPr>
          <w:rFonts w:ascii="Times New Roman" w:hAnsi="Times New Roman" w:cs="Times New Roman"/>
          <w:sz w:val="24"/>
          <w:szCs w:val="24"/>
          <w:lang w:val="en-US"/>
        </w:rPr>
      </w:pPr>
      <w:r w:rsidRPr="00754142">
        <w:rPr>
          <w:rFonts w:ascii="Times New Roman" w:hAnsi="Times New Roman" w:cs="Times New Roman"/>
          <w:sz w:val="24"/>
          <w:szCs w:val="24"/>
          <w:lang w:val="en-US"/>
        </w:rPr>
        <w:t xml:space="preserve">Setelah dianalisis dengan menggunakan uji statistik </w:t>
      </w:r>
      <w:r w:rsidRPr="00754142">
        <w:rPr>
          <w:rFonts w:ascii="Times New Roman" w:hAnsi="Times New Roman" w:cs="Times New Roman"/>
          <w:i/>
          <w:sz w:val="24"/>
          <w:szCs w:val="24"/>
          <w:lang w:val="en-US"/>
        </w:rPr>
        <w:t>chi-square</w:t>
      </w:r>
      <w:r w:rsidRPr="00754142">
        <w:rPr>
          <w:rFonts w:ascii="Times New Roman" w:hAnsi="Times New Roman" w:cs="Times New Roman"/>
          <w:sz w:val="24"/>
          <w:szCs w:val="24"/>
          <w:lang w:val="en-US"/>
        </w:rPr>
        <w:t xml:space="preserve"> ternyata ditetapkan nilai p = 0,009 (p&lt;0</w:t>
      </w:r>
      <w:proofErr w:type="gramStart"/>
      <w:r w:rsidRPr="00754142">
        <w:rPr>
          <w:rFonts w:ascii="Times New Roman" w:hAnsi="Times New Roman" w:cs="Times New Roman"/>
          <w:sz w:val="24"/>
          <w:szCs w:val="24"/>
          <w:lang w:val="en-US"/>
        </w:rPr>
        <w:t>,05</w:t>
      </w:r>
      <w:proofErr w:type="gramEnd"/>
      <w:r w:rsidRPr="00754142">
        <w:rPr>
          <w:rFonts w:ascii="Times New Roman" w:hAnsi="Times New Roman" w:cs="Times New Roman"/>
          <w:sz w:val="24"/>
          <w:szCs w:val="24"/>
          <w:lang w:val="en-US"/>
        </w:rPr>
        <w:t xml:space="preserve">). Hal ini menunjukkan </w:t>
      </w:r>
      <w:proofErr w:type="gramStart"/>
      <w:r w:rsidRPr="00754142">
        <w:rPr>
          <w:rFonts w:ascii="Times New Roman" w:hAnsi="Times New Roman" w:cs="Times New Roman"/>
          <w:sz w:val="24"/>
          <w:szCs w:val="24"/>
          <w:lang w:val="en-US"/>
        </w:rPr>
        <w:t>bahwa  terdapat</w:t>
      </w:r>
      <w:proofErr w:type="gramEnd"/>
      <w:r w:rsidRPr="00754142">
        <w:rPr>
          <w:rFonts w:ascii="Times New Roman" w:hAnsi="Times New Roman" w:cs="Times New Roman"/>
          <w:sz w:val="24"/>
          <w:szCs w:val="24"/>
          <w:lang w:val="en-US"/>
        </w:rPr>
        <w:t xml:space="preserve"> hubungan yang bermakna antara paritas</w:t>
      </w:r>
      <w:r w:rsidRPr="00754142">
        <w:rPr>
          <w:rFonts w:ascii="Times New Roman" w:hAnsi="Times New Roman" w:cs="Times New Roman"/>
          <w:sz w:val="24"/>
          <w:szCs w:val="24"/>
        </w:rPr>
        <w:t xml:space="preserve"> dengan kejadian BBLR </w:t>
      </w:r>
      <w:r w:rsidRPr="00754142">
        <w:rPr>
          <w:rFonts w:ascii="Times New Roman" w:hAnsi="Times New Roman" w:cs="Times New Roman"/>
          <w:sz w:val="24"/>
          <w:szCs w:val="24"/>
          <w:lang w:val="en-US"/>
        </w:rPr>
        <w:t>d</w:t>
      </w:r>
      <w:r w:rsidRPr="00754142">
        <w:rPr>
          <w:rFonts w:ascii="Times New Roman" w:hAnsi="Times New Roman" w:cs="Times New Roman"/>
          <w:sz w:val="24"/>
          <w:szCs w:val="24"/>
        </w:rPr>
        <w:t>i RSUD Raden Mattaher Jambi Tahun 2016- 2017</w:t>
      </w:r>
      <w:r w:rsidRPr="00754142">
        <w:rPr>
          <w:rFonts w:ascii="Times New Roman" w:hAnsi="Times New Roman" w:cs="Times New Roman"/>
          <w:sz w:val="24"/>
          <w:szCs w:val="24"/>
          <w:lang w:val="en-US"/>
        </w:rPr>
        <w:t xml:space="preserve">. </w:t>
      </w:r>
      <w:proofErr w:type="gramStart"/>
      <w:r w:rsidRPr="00754142">
        <w:rPr>
          <w:rFonts w:ascii="Times New Roman" w:hAnsi="Times New Roman" w:cs="Times New Roman"/>
          <w:sz w:val="24"/>
          <w:szCs w:val="24"/>
          <w:lang w:val="en-US"/>
        </w:rPr>
        <w:t xml:space="preserve">Dari table tersebut juga kita dapat melihat nilai </w:t>
      </w:r>
      <w:r w:rsidRPr="00754142">
        <w:rPr>
          <w:rFonts w:ascii="Times New Roman" w:hAnsi="Times New Roman" w:cs="Times New Roman"/>
          <w:i/>
          <w:sz w:val="24"/>
          <w:szCs w:val="24"/>
          <w:lang w:val="en-US"/>
        </w:rPr>
        <w:t>Odd Ratio</w:t>
      </w:r>
      <w:r w:rsidRPr="00754142">
        <w:rPr>
          <w:rFonts w:ascii="Times New Roman" w:hAnsi="Times New Roman" w:cs="Times New Roman"/>
          <w:sz w:val="24"/>
          <w:szCs w:val="24"/>
          <w:lang w:val="en-US"/>
        </w:rPr>
        <w:t xml:space="preserve"> (OR) yaitu sebesar 4,750.</w:t>
      </w:r>
      <w:proofErr w:type="gramEnd"/>
      <w:r w:rsidRPr="00754142">
        <w:rPr>
          <w:rFonts w:ascii="Times New Roman" w:hAnsi="Times New Roman" w:cs="Times New Roman"/>
          <w:sz w:val="24"/>
          <w:szCs w:val="24"/>
          <w:lang w:val="en-US"/>
        </w:rPr>
        <w:t xml:space="preserve"> </w:t>
      </w:r>
      <w:proofErr w:type="gramStart"/>
      <w:r w:rsidRPr="00754142">
        <w:rPr>
          <w:rFonts w:ascii="Times New Roman" w:hAnsi="Times New Roman" w:cs="Times New Roman"/>
          <w:sz w:val="24"/>
          <w:szCs w:val="24"/>
          <w:lang w:val="en-US"/>
        </w:rPr>
        <w:t xml:space="preserve">Nilai OR &gt; 1 yang berarti ibu </w:t>
      </w:r>
      <w:r w:rsidRPr="00754142">
        <w:rPr>
          <w:rFonts w:ascii="Times New Roman" w:hAnsi="Times New Roman" w:cs="Times New Roman"/>
          <w:sz w:val="24"/>
          <w:szCs w:val="24"/>
        </w:rPr>
        <w:t xml:space="preserve">dengan </w:t>
      </w:r>
      <w:r w:rsidRPr="00754142">
        <w:rPr>
          <w:rFonts w:ascii="Times New Roman" w:hAnsi="Times New Roman" w:cs="Times New Roman"/>
          <w:sz w:val="24"/>
          <w:szCs w:val="24"/>
          <w:lang w:val="en-US"/>
        </w:rPr>
        <w:t>paritas berisiko berpeluang terjadinya BBLR sebanyak 4,750 kali dibandingkan dengan ibu paritas tidak berisiko.</w:t>
      </w:r>
      <w:proofErr w:type="gramEnd"/>
    </w:p>
    <w:p w:rsidR="000A7B70" w:rsidRPr="00754142" w:rsidRDefault="000A7B70" w:rsidP="0072161C">
      <w:pPr>
        <w:jc w:val="both"/>
        <w:rPr>
          <w:b/>
        </w:rPr>
      </w:pPr>
      <w:proofErr w:type="gramStart"/>
      <w:r w:rsidRPr="00754142">
        <w:rPr>
          <w:b/>
        </w:rPr>
        <w:t>Hubungan Anemia Dengan Kejadian BBLR di RSUD Raden Mattaher Jambi Tahun 2016- 2017.</w:t>
      </w:r>
      <w:proofErr w:type="gramEnd"/>
    </w:p>
    <w:p w:rsidR="000A7B70" w:rsidRPr="00754142" w:rsidRDefault="000A7B70" w:rsidP="0072161C">
      <w:pPr>
        <w:pStyle w:val="ListParagraph"/>
        <w:spacing w:line="240" w:lineRule="auto"/>
        <w:ind w:left="0" w:firstLine="654"/>
        <w:jc w:val="both"/>
        <w:rPr>
          <w:rFonts w:ascii="Times New Roman" w:hAnsi="Times New Roman" w:cs="Times New Roman"/>
          <w:sz w:val="24"/>
          <w:szCs w:val="24"/>
        </w:rPr>
      </w:pPr>
      <w:r w:rsidRPr="00754142">
        <w:rPr>
          <w:rFonts w:ascii="Times New Roman" w:hAnsi="Times New Roman" w:cs="Times New Roman"/>
          <w:sz w:val="24"/>
          <w:szCs w:val="24"/>
        </w:rPr>
        <w:t xml:space="preserve">Berdasarkan </w:t>
      </w:r>
      <w:r w:rsidR="0072161C" w:rsidRPr="00754142">
        <w:rPr>
          <w:rFonts w:ascii="Times New Roman" w:hAnsi="Times New Roman" w:cs="Times New Roman"/>
          <w:sz w:val="24"/>
          <w:szCs w:val="24"/>
        </w:rPr>
        <w:t>hasil penelitian</w:t>
      </w:r>
      <w:r w:rsidRPr="00754142">
        <w:rPr>
          <w:rFonts w:ascii="Times New Roman" w:hAnsi="Times New Roman" w:cs="Times New Roman"/>
          <w:sz w:val="24"/>
          <w:szCs w:val="24"/>
        </w:rPr>
        <w:t xml:space="preserve"> diketahui bahwa dari </w:t>
      </w:r>
      <w:r w:rsidRPr="00754142">
        <w:rPr>
          <w:rFonts w:ascii="Times New Roman" w:hAnsi="Times New Roman" w:cs="Times New Roman"/>
          <w:sz w:val="24"/>
          <w:szCs w:val="24"/>
          <w:lang w:val="en-US"/>
        </w:rPr>
        <w:t>27 responden dengan anemia, 18 responden (66,7%) dengan BBLR dan 9 responden (33,3%) tidak BBLR. D</w:t>
      </w:r>
      <w:r w:rsidRPr="00754142">
        <w:rPr>
          <w:rFonts w:ascii="Times New Roman" w:hAnsi="Times New Roman" w:cs="Times New Roman"/>
          <w:sz w:val="24"/>
          <w:szCs w:val="24"/>
        </w:rPr>
        <w:t xml:space="preserve">ari </w:t>
      </w:r>
      <w:r w:rsidRPr="00754142">
        <w:rPr>
          <w:rFonts w:ascii="Times New Roman" w:hAnsi="Times New Roman" w:cs="Times New Roman"/>
          <w:sz w:val="24"/>
          <w:szCs w:val="24"/>
          <w:lang w:val="en-US"/>
        </w:rPr>
        <w:t>33 responden dengan anemia, 12 responden (36</w:t>
      </w:r>
      <w:proofErr w:type="gramStart"/>
      <w:r w:rsidRPr="00754142">
        <w:rPr>
          <w:rFonts w:ascii="Times New Roman" w:hAnsi="Times New Roman" w:cs="Times New Roman"/>
          <w:sz w:val="24"/>
          <w:szCs w:val="24"/>
          <w:lang w:val="en-US"/>
        </w:rPr>
        <w:t>,4</w:t>
      </w:r>
      <w:proofErr w:type="gramEnd"/>
      <w:r w:rsidRPr="00754142">
        <w:rPr>
          <w:rFonts w:ascii="Times New Roman" w:hAnsi="Times New Roman" w:cs="Times New Roman"/>
          <w:sz w:val="24"/>
          <w:szCs w:val="24"/>
          <w:lang w:val="en-US"/>
        </w:rPr>
        <w:t>%) dengan BBLR dan 21 responden (63,6%) tidak BBLR</w:t>
      </w:r>
      <w:r w:rsidRPr="00754142">
        <w:rPr>
          <w:rFonts w:ascii="Times New Roman" w:hAnsi="Times New Roman" w:cs="Times New Roman"/>
          <w:sz w:val="24"/>
          <w:szCs w:val="24"/>
        </w:rPr>
        <w:t xml:space="preserve">. </w:t>
      </w:r>
    </w:p>
    <w:p w:rsidR="000C4CFB" w:rsidRPr="00754142" w:rsidRDefault="000A7B70" w:rsidP="0072161C">
      <w:pPr>
        <w:pStyle w:val="ListParagraph"/>
        <w:spacing w:after="0" w:line="240" w:lineRule="auto"/>
        <w:ind w:left="0" w:firstLine="720"/>
        <w:jc w:val="both"/>
        <w:rPr>
          <w:rFonts w:ascii="Times New Roman" w:hAnsi="Times New Roman" w:cs="Times New Roman"/>
          <w:sz w:val="24"/>
          <w:szCs w:val="24"/>
          <w:lang w:val="en-US"/>
        </w:rPr>
      </w:pPr>
      <w:r w:rsidRPr="00754142">
        <w:rPr>
          <w:rFonts w:ascii="Times New Roman" w:hAnsi="Times New Roman" w:cs="Times New Roman"/>
          <w:sz w:val="24"/>
          <w:szCs w:val="24"/>
          <w:lang w:val="en-US"/>
        </w:rPr>
        <w:t xml:space="preserve">Setelah dianalisis dengan menggunakan uji statistik </w:t>
      </w:r>
      <w:r w:rsidRPr="00754142">
        <w:rPr>
          <w:rFonts w:ascii="Times New Roman" w:hAnsi="Times New Roman" w:cs="Times New Roman"/>
          <w:i/>
          <w:sz w:val="24"/>
          <w:szCs w:val="24"/>
          <w:lang w:val="en-US"/>
        </w:rPr>
        <w:t>chi-square</w:t>
      </w:r>
      <w:r w:rsidRPr="00754142">
        <w:rPr>
          <w:rFonts w:ascii="Times New Roman" w:hAnsi="Times New Roman" w:cs="Times New Roman"/>
          <w:sz w:val="24"/>
          <w:szCs w:val="24"/>
          <w:lang w:val="en-US"/>
        </w:rPr>
        <w:t xml:space="preserve"> ternyata ditetapkan nilai p = 0,038 (p&lt;0</w:t>
      </w:r>
      <w:proofErr w:type="gramStart"/>
      <w:r w:rsidRPr="00754142">
        <w:rPr>
          <w:rFonts w:ascii="Times New Roman" w:hAnsi="Times New Roman" w:cs="Times New Roman"/>
          <w:sz w:val="24"/>
          <w:szCs w:val="24"/>
          <w:lang w:val="en-US"/>
        </w:rPr>
        <w:t>,05</w:t>
      </w:r>
      <w:proofErr w:type="gramEnd"/>
      <w:r w:rsidRPr="00754142">
        <w:rPr>
          <w:rFonts w:ascii="Times New Roman" w:hAnsi="Times New Roman" w:cs="Times New Roman"/>
          <w:sz w:val="24"/>
          <w:szCs w:val="24"/>
          <w:lang w:val="en-US"/>
        </w:rPr>
        <w:t xml:space="preserve">). Hal ini menunjukkan </w:t>
      </w:r>
      <w:proofErr w:type="gramStart"/>
      <w:r w:rsidRPr="00754142">
        <w:rPr>
          <w:rFonts w:ascii="Times New Roman" w:hAnsi="Times New Roman" w:cs="Times New Roman"/>
          <w:sz w:val="24"/>
          <w:szCs w:val="24"/>
          <w:lang w:val="en-US"/>
        </w:rPr>
        <w:t>bahwa  terdapat</w:t>
      </w:r>
      <w:proofErr w:type="gramEnd"/>
      <w:r w:rsidRPr="00754142">
        <w:rPr>
          <w:rFonts w:ascii="Times New Roman" w:hAnsi="Times New Roman" w:cs="Times New Roman"/>
          <w:sz w:val="24"/>
          <w:szCs w:val="24"/>
          <w:lang w:val="en-US"/>
        </w:rPr>
        <w:t xml:space="preserve"> hubungan yang bermakna antara anemia</w:t>
      </w:r>
      <w:r w:rsidRPr="00754142">
        <w:rPr>
          <w:rFonts w:ascii="Times New Roman" w:hAnsi="Times New Roman" w:cs="Times New Roman"/>
          <w:sz w:val="24"/>
          <w:szCs w:val="24"/>
        </w:rPr>
        <w:t xml:space="preserve"> dengan kejadian BBLR </w:t>
      </w:r>
      <w:r w:rsidRPr="00754142">
        <w:rPr>
          <w:rFonts w:ascii="Times New Roman" w:hAnsi="Times New Roman" w:cs="Times New Roman"/>
          <w:sz w:val="24"/>
          <w:szCs w:val="24"/>
          <w:lang w:val="en-US"/>
        </w:rPr>
        <w:t>d</w:t>
      </w:r>
      <w:r w:rsidRPr="00754142">
        <w:rPr>
          <w:rFonts w:ascii="Times New Roman" w:hAnsi="Times New Roman" w:cs="Times New Roman"/>
          <w:sz w:val="24"/>
          <w:szCs w:val="24"/>
        </w:rPr>
        <w:t xml:space="preserve">i RSUD Raden </w:t>
      </w:r>
      <w:r w:rsidRPr="00754142">
        <w:rPr>
          <w:rFonts w:ascii="Times New Roman" w:hAnsi="Times New Roman" w:cs="Times New Roman"/>
          <w:sz w:val="24"/>
          <w:szCs w:val="24"/>
        </w:rPr>
        <w:lastRenderedPageBreak/>
        <w:t>Mattaher Jambi Tahun 2016- 2017</w:t>
      </w:r>
      <w:r w:rsidRPr="00754142">
        <w:rPr>
          <w:rFonts w:ascii="Times New Roman" w:hAnsi="Times New Roman" w:cs="Times New Roman"/>
          <w:sz w:val="24"/>
          <w:szCs w:val="24"/>
          <w:lang w:val="en-US"/>
        </w:rPr>
        <w:t xml:space="preserve">. </w:t>
      </w:r>
      <w:proofErr w:type="gramStart"/>
      <w:r w:rsidRPr="00754142">
        <w:rPr>
          <w:rFonts w:ascii="Times New Roman" w:hAnsi="Times New Roman" w:cs="Times New Roman"/>
          <w:sz w:val="24"/>
          <w:szCs w:val="24"/>
          <w:lang w:val="en-US"/>
        </w:rPr>
        <w:t xml:space="preserve">Dari table tersebut juga kita dapat melihat nilai </w:t>
      </w:r>
      <w:r w:rsidRPr="00754142">
        <w:rPr>
          <w:rFonts w:ascii="Times New Roman" w:hAnsi="Times New Roman" w:cs="Times New Roman"/>
          <w:i/>
          <w:sz w:val="24"/>
          <w:szCs w:val="24"/>
          <w:lang w:val="en-US"/>
        </w:rPr>
        <w:t>Odd Ratio</w:t>
      </w:r>
      <w:r w:rsidRPr="00754142">
        <w:rPr>
          <w:rFonts w:ascii="Times New Roman" w:hAnsi="Times New Roman" w:cs="Times New Roman"/>
          <w:sz w:val="24"/>
          <w:szCs w:val="24"/>
          <w:lang w:val="en-US"/>
        </w:rPr>
        <w:t xml:space="preserve"> (OR) yaitu sebesar</w:t>
      </w:r>
      <w:r w:rsidRPr="00754142">
        <w:rPr>
          <w:rFonts w:ascii="Times New Roman" w:hAnsi="Times New Roman" w:cs="Times New Roman"/>
          <w:sz w:val="24"/>
          <w:szCs w:val="24"/>
        </w:rPr>
        <w:t xml:space="preserve"> </w:t>
      </w:r>
      <w:r w:rsidRPr="00754142">
        <w:rPr>
          <w:rFonts w:ascii="Times New Roman" w:hAnsi="Times New Roman" w:cs="Times New Roman"/>
          <w:sz w:val="24"/>
          <w:szCs w:val="24"/>
          <w:lang w:val="en-US"/>
        </w:rPr>
        <w:t>3,500.</w:t>
      </w:r>
      <w:proofErr w:type="gramEnd"/>
      <w:r w:rsidRPr="00754142">
        <w:rPr>
          <w:rFonts w:ascii="Times New Roman" w:hAnsi="Times New Roman" w:cs="Times New Roman"/>
          <w:sz w:val="24"/>
          <w:szCs w:val="24"/>
          <w:lang w:val="en-US"/>
        </w:rPr>
        <w:t xml:space="preserve"> </w:t>
      </w:r>
      <w:proofErr w:type="gramStart"/>
      <w:r w:rsidRPr="00754142">
        <w:rPr>
          <w:rFonts w:ascii="Times New Roman" w:hAnsi="Times New Roman" w:cs="Times New Roman"/>
          <w:sz w:val="24"/>
          <w:szCs w:val="24"/>
          <w:lang w:val="en-US"/>
        </w:rPr>
        <w:t xml:space="preserve">Nilai OR &gt; 1 yang berarti ibu </w:t>
      </w:r>
      <w:r w:rsidRPr="00754142">
        <w:rPr>
          <w:rFonts w:ascii="Times New Roman" w:hAnsi="Times New Roman" w:cs="Times New Roman"/>
          <w:sz w:val="24"/>
          <w:szCs w:val="24"/>
        </w:rPr>
        <w:t xml:space="preserve">dengan </w:t>
      </w:r>
      <w:r w:rsidRPr="00754142">
        <w:rPr>
          <w:rFonts w:ascii="Times New Roman" w:hAnsi="Times New Roman" w:cs="Times New Roman"/>
          <w:sz w:val="24"/>
          <w:szCs w:val="24"/>
          <w:lang w:val="en-US"/>
        </w:rPr>
        <w:t>anemia</w:t>
      </w:r>
      <w:r w:rsidRPr="00754142">
        <w:rPr>
          <w:rFonts w:ascii="Times New Roman" w:hAnsi="Times New Roman" w:cs="Times New Roman"/>
          <w:sz w:val="24"/>
          <w:szCs w:val="24"/>
        </w:rPr>
        <w:t xml:space="preserve"> </w:t>
      </w:r>
      <w:r w:rsidRPr="00754142">
        <w:rPr>
          <w:rFonts w:ascii="Times New Roman" w:hAnsi="Times New Roman" w:cs="Times New Roman"/>
          <w:sz w:val="24"/>
          <w:szCs w:val="24"/>
          <w:lang w:val="en-US"/>
        </w:rPr>
        <w:t>berpeluang terjadinya BBLR sebanyak 3,500 kali dibandingkan dengan ibu yang tidak anemia.</w:t>
      </w:r>
      <w:proofErr w:type="gramEnd"/>
    </w:p>
    <w:p w:rsidR="000C4CFB" w:rsidRPr="00754142" w:rsidRDefault="000C4CFB" w:rsidP="000A7B70">
      <w:pPr>
        <w:jc w:val="both"/>
      </w:pPr>
    </w:p>
    <w:p w:rsidR="00596B5E" w:rsidRPr="00754142" w:rsidRDefault="00596B5E" w:rsidP="000A7B70">
      <w:pPr>
        <w:jc w:val="both"/>
        <w:rPr>
          <w:b/>
        </w:rPr>
      </w:pPr>
      <w:r w:rsidRPr="00754142">
        <w:rPr>
          <w:b/>
        </w:rPr>
        <w:t>RINGKASAN</w:t>
      </w:r>
    </w:p>
    <w:p w:rsidR="00596B5E" w:rsidRPr="00754142" w:rsidRDefault="000A7B70" w:rsidP="000A7B70">
      <w:pPr>
        <w:jc w:val="both"/>
        <w:rPr>
          <w:lang w:val="id-ID"/>
        </w:rPr>
      </w:pPr>
      <w:r w:rsidRPr="00754142">
        <w:t xml:space="preserve">Bayi Berat Lahir Rendah (BBLR) </w:t>
      </w:r>
      <w:proofErr w:type="gramStart"/>
      <w:r w:rsidRPr="00754142">
        <w:t>akan</w:t>
      </w:r>
      <w:proofErr w:type="gramEnd"/>
      <w:r w:rsidRPr="00754142">
        <w:t xml:space="preserve"> mengakibatkan risiko morbiditas dan mortalitas bayi karena rentan terhadap kondisi-kondisi infeksi saluran pernafasan bagian bawah, gangguan belajar, masalah perilaku kesehatan, dan lain sebagainya</w:t>
      </w:r>
      <w:r w:rsidR="00596B5E" w:rsidRPr="00754142">
        <w:t xml:space="preserve">. </w:t>
      </w:r>
      <w:proofErr w:type="gramStart"/>
      <w:r w:rsidR="00596B5E" w:rsidRPr="00754142">
        <w:t>Penelitian ini bertujuan untuk mengetahui</w:t>
      </w:r>
      <w:r w:rsidR="00D449A2" w:rsidRPr="00754142">
        <w:t xml:space="preserve"> </w:t>
      </w:r>
      <w:r w:rsidRPr="00754142">
        <w:rPr>
          <w:color w:val="000000"/>
        </w:rPr>
        <w:t xml:space="preserve">hubungan </w:t>
      </w:r>
      <w:r w:rsidRPr="00754142">
        <w:t>umur, paritas dan anemia dengan kejadian BBLR di RSUD Raden Mattaher Jambi Tahun 2016 - 2017</w:t>
      </w:r>
      <w:r w:rsidR="00596B5E" w:rsidRPr="00754142">
        <w:t>.</w:t>
      </w:r>
      <w:proofErr w:type="gramEnd"/>
      <w:r w:rsidR="00596B5E" w:rsidRPr="00754142">
        <w:t xml:space="preserve"> Penelitian ini dilaksanakan di RSUD Raden Mattaher Jambi </w:t>
      </w:r>
      <w:r w:rsidR="00D449A2" w:rsidRPr="00754142">
        <w:t xml:space="preserve">pada tanggal </w:t>
      </w:r>
      <w:r w:rsidRPr="00754142">
        <w:rPr>
          <w:lang w:val="id-ID"/>
        </w:rPr>
        <w:t>08-23</w:t>
      </w:r>
      <w:r w:rsidR="00D449A2" w:rsidRPr="00754142">
        <w:t xml:space="preserve"> Mei 2018 </w:t>
      </w:r>
      <w:r w:rsidR="00596B5E" w:rsidRPr="00754142">
        <w:t>tentang</w:t>
      </w:r>
      <w:r w:rsidR="00D449A2" w:rsidRPr="00754142">
        <w:t xml:space="preserve"> hubungan ketuban pecah dini dan Berat Badan Lahir Rendah  (BBLR) dengan kejadian asfiksia pada bayi baru lahir di RSUD Raden Mattaher Jambi Periode Tahun 2016-2017</w:t>
      </w:r>
      <w:r w:rsidR="00596B5E" w:rsidRPr="00754142">
        <w:t xml:space="preserve">. </w:t>
      </w:r>
      <w:proofErr w:type="gramStart"/>
      <w:r w:rsidR="00596B5E" w:rsidRPr="00754142">
        <w:t xml:space="preserve">Metode penelitian ini adalah </w:t>
      </w:r>
      <w:r w:rsidR="00D449A2" w:rsidRPr="00754142">
        <w:rPr>
          <w:i/>
        </w:rPr>
        <w:t xml:space="preserve">analitik </w:t>
      </w:r>
      <w:r w:rsidR="00D449A2" w:rsidRPr="00754142">
        <w:t xml:space="preserve">dengan pendekatan </w:t>
      </w:r>
      <w:r w:rsidR="00D449A2" w:rsidRPr="00754142">
        <w:rPr>
          <w:i/>
        </w:rPr>
        <w:t>retrospektif</w:t>
      </w:r>
      <w:r w:rsidR="00596B5E" w:rsidRPr="00754142">
        <w:t>.</w:t>
      </w:r>
      <w:proofErr w:type="gramEnd"/>
      <w:r w:rsidR="00596B5E" w:rsidRPr="00754142">
        <w:t xml:space="preserve"> </w:t>
      </w:r>
      <w:r w:rsidR="00D449A2" w:rsidRPr="00754142">
        <w:t xml:space="preserve">Populasi dalam penelitian ini adalah </w:t>
      </w:r>
      <w:r w:rsidRPr="00754142">
        <w:t>seluruh bayi baru lahir dengan BBLR pada tahun 2016-2017 sebanyak 30 orang dan kelompok kontrol adalah seluruh bayi baru lahir dengan berat  badan lahir normal tahun 2016-2017 sebanyak 343 orang</w:t>
      </w:r>
      <w:r w:rsidR="00D449A2" w:rsidRPr="00754142">
        <w:t xml:space="preserve">. </w:t>
      </w:r>
      <w:proofErr w:type="gramStart"/>
      <w:r w:rsidR="00D449A2" w:rsidRPr="00754142">
        <w:t xml:space="preserve">Sampel dalam penelitian ini sebanyak </w:t>
      </w:r>
      <w:r w:rsidRPr="00754142">
        <w:rPr>
          <w:lang w:val="id-ID"/>
        </w:rPr>
        <w:t>30</w:t>
      </w:r>
      <w:r w:rsidR="00D449A2" w:rsidRPr="00754142">
        <w:t xml:space="preserve"> orang yang diambil dengan teknik </w:t>
      </w:r>
      <w:r w:rsidRPr="00754142">
        <w:rPr>
          <w:lang w:val="id-ID"/>
        </w:rPr>
        <w:t xml:space="preserve">total sampling dan </w:t>
      </w:r>
      <w:r w:rsidRPr="00754142">
        <w:rPr>
          <w:i/>
          <w:lang w:val="id-ID"/>
        </w:rPr>
        <w:t>pu</w:t>
      </w:r>
      <w:r w:rsidR="00D449A2" w:rsidRPr="00754142">
        <w:rPr>
          <w:i/>
        </w:rPr>
        <w:t>rposive sampling.</w:t>
      </w:r>
      <w:proofErr w:type="gramEnd"/>
      <w:r w:rsidR="00D449A2" w:rsidRPr="00754142">
        <w:rPr>
          <w:i/>
        </w:rPr>
        <w:t xml:space="preserve"> </w:t>
      </w:r>
      <w:proofErr w:type="gramStart"/>
      <w:r w:rsidR="00D449A2" w:rsidRPr="00754142">
        <w:t>P</w:t>
      </w:r>
      <w:r w:rsidR="00596B5E" w:rsidRPr="00754142">
        <w:t xml:space="preserve">engumpulan data dilakukan dengan </w:t>
      </w:r>
      <w:r w:rsidR="00D449A2" w:rsidRPr="00754142">
        <w:t xml:space="preserve">menggunakan lembar ceklist, menggunakan tabel distribusi frekuensi dan uji </w:t>
      </w:r>
      <w:r w:rsidR="00D449A2" w:rsidRPr="00754142">
        <w:rPr>
          <w:i/>
        </w:rPr>
        <w:t>chi-square</w:t>
      </w:r>
      <w:r w:rsidR="00D449A2" w:rsidRPr="00754142">
        <w:t>.</w:t>
      </w:r>
      <w:proofErr w:type="gramEnd"/>
      <w:r w:rsidR="00D449A2" w:rsidRPr="00754142">
        <w:t xml:space="preserve"> Dari hasil penelitian, didapat </w:t>
      </w:r>
      <w:r w:rsidRPr="00754142">
        <w:t xml:space="preserve">dari 60 responden,  46 responden (76,7%) memiliki umur berisiko, 33 responden (55%) memiliki paritas berisiko , 33 responden (55%) tidak mengalami anemia dan 30 responden (50%) dengan BBLR. Tidak ada hubungan umur dengan kejadian BBLR </w:t>
      </w:r>
      <w:r w:rsidRPr="00754142">
        <w:lastRenderedPageBreak/>
        <w:t xml:space="preserve">karena nilai p </w:t>
      </w:r>
      <w:r w:rsidRPr="00754142">
        <w:rPr>
          <w:i/>
        </w:rPr>
        <w:t>value</w:t>
      </w:r>
      <w:r w:rsidRPr="00754142">
        <w:t xml:space="preserve"> (0,360) &gt; 0</w:t>
      </w:r>
      <w:proofErr w:type="gramStart"/>
      <w:r w:rsidRPr="00754142">
        <w:t>,05</w:t>
      </w:r>
      <w:proofErr w:type="gramEnd"/>
      <w:r w:rsidRPr="00754142">
        <w:t xml:space="preserve">. Ada hubungan paritas (p=0,009) dan anemia (0,038) dengan kejadian BBLR karena nilai p </w:t>
      </w:r>
      <w:proofErr w:type="gramStart"/>
      <w:r w:rsidRPr="00754142">
        <w:rPr>
          <w:i/>
        </w:rPr>
        <w:t>value</w:t>
      </w:r>
      <w:r w:rsidRPr="00754142">
        <w:t xml:space="preserve">  &lt;</w:t>
      </w:r>
      <w:proofErr w:type="gramEnd"/>
      <w:r w:rsidRPr="00754142">
        <w:t xml:space="preserve"> 0,05</w:t>
      </w:r>
      <w:r w:rsidR="00D449A2" w:rsidRPr="00754142">
        <w:t xml:space="preserve">. </w:t>
      </w:r>
      <w:proofErr w:type="gramStart"/>
      <w:r w:rsidR="00D449A2" w:rsidRPr="00754142">
        <w:t xml:space="preserve">Upaya yang harus dilakukan adalah </w:t>
      </w:r>
      <w:r w:rsidRPr="00754142">
        <w:rPr>
          <w:lang w:val="id-ID"/>
        </w:rPr>
        <w:t xml:space="preserve">meningkatkan pelayanan kesehatan </w:t>
      </w:r>
      <w:r w:rsidRPr="00754142">
        <w:t>ibu dan anak khususnya dalam mencegah dan meninjau kembali faktor risiko dari BBLR</w:t>
      </w:r>
      <w:r w:rsidRPr="00754142">
        <w:rPr>
          <w:lang w:val="id-ID"/>
        </w:rPr>
        <w:t>.</w:t>
      </w:r>
      <w:proofErr w:type="gramEnd"/>
    </w:p>
    <w:p w:rsidR="00596B5E" w:rsidRPr="00754142" w:rsidRDefault="00596B5E" w:rsidP="000A7B70">
      <w:pPr>
        <w:jc w:val="both"/>
        <w:rPr>
          <w:b/>
          <w:lang w:val="id-ID"/>
        </w:rPr>
      </w:pPr>
    </w:p>
    <w:p w:rsidR="00D449A2" w:rsidRPr="00754142" w:rsidRDefault="00D449A2" w:rsidP="000A7B70">
      <w:pPr>
        <w:jc w:val="both"/>
        <w:rPr>
          <w:b/>
          <w:lang w:val="id-ID"/>
        </w:rPr>
      </w:pPr>
      <w:r w:rsidRPr="00754142">
        <w:rPr>
          <w:b/>
        </w:rPr>
        <w:t>SIMPULAN</w:t>
      </w:r>
    </w:p>
    <w:p w:rsidR="0072161C" w:rsidRPr="00754142" w:rsidRDefault="000A7B70" w:rsidP="0072161C">
      <w:pPr>
        <w:pStyle w:val="ListParagraph"/>
        <w:spacing w:line="240" w:lineRule="auto"/>
        <w:ind w:left="0" w:firstLine="709"/>
        <w:jc w:val="both"/>
        <w:rPr>
          <w:rFonts w:ascii="Times New Roman" w:hAnsi="Times New Roman" w:cs="Times New Roman"/>
          <w:sz w:val="24"/>
          <w:szCs w:val="24"/>
        </w:rPr>
      </w:pPr>
      <w:r w:rsidRPr="00754142">
        <w:rPr>
          <w:rFonts w:ascii="Times New Roman" w:hAnsi="Times New Roman" w:cs="Times New Roman"/>
          <w:sz w:val="24"/>
          <w:szCs w:val="24"/>
        </w:rPr>
        <w:t xml:space="preserve">Berdasarkan hasil penelitian dan uraian pembahasan tentang </w:t>
      </w:r>
      <w:r w:rsidRPr="00754142">
        <w:rPr>
          <w:rFonts w:ascii="Times New Roman" w:hAnsi="Times New Roman" w:cs="Times New Roman"/>
          <w:color w:val="000000"/>
          <w:sz w:val="24"/>
          <w:szCs w:val="24"/>
          <w:lang w:val="en-US"/>
        </w:rPr>
        <w:t xml:space="preserve">hubungan </w:t>
      </w:r>
      <w:r w:rsidRPr="00754142">
        <w:rPr>
          <w:rFonts w:ascii="Times New Roman" w:hAnsi="Times New Roman" w:cs="Times New Roman"/>
          <w:sz w:val="24"/>
          <w:szCs w:val="24"/>
        </w:rPr>
        <w:t xml:space="preserve">umur, paritas dan anemia dengan kejadian BBLR di RSUD Raden Mattaher Jambi Tahun 2016 - 2017, </w:t>
      </w:r>
      <w:r w:rsidRPr="00754142">
        <w:rPr>
          <w:rFonts w:ascii="Times New Roman" w:hAnsi="Times New Roman" w:cs="Times New Roman"/>
          <w:sz w:val="24"/>
          <w:szCs w:val="24"/>
          <w:lang w:val="en-US"/>
        </w:rPr>
        <w:t>d</w:t>
      </w:r>
      <w:r w:rsidRPr="00754142">
        <w:rPr>
          <w:rFonts w:ascii="Times New Roman" w:hAnsi="Times New Roman" w:cs="Times New Roman"/>
          <w:sz w:val="24"/>
          <w:szCs w:val="24"/>
        </w:rPr>
        <w:t xml:space="preserve">ari </w:t>
      </w:r>
      <w:r w:rsidRPr="00754142">
        <w:rPr>
          <w:rFonts w:ascii="Times New Roman" w:hAnsi="Times New Roman" w:cs="Times New Roman"/>
          <w:sz w:val="24"/>
          <w:szCs w:val="24"/>
          <w:lang w:val="en-US"/>
        </w:rPr>
        <w:t xml:space="preserve"> 60 responden, sebanyak 14 responden (23,3%) memiliki umur tidak berisiko dan sebanyak 46 responden (76,7%) memiliki umur berisiko, sebanyak 33 responden (55%) memiliki paritas berisiko dan sebanyak 27 responden (45%) memiliki paritas tidak berisiko, sebanyak 27 responden (45%) mengalami anemia dan sebanyak 33 responden (55%) tidak mengalami anemia dan sebanyak 30 responden (50%) dengan BBLR dan sebanyak</w:t>
      </w:r>
      <w:r w:rsidR="00AB36BC" w:rsidRPr="00754142">
        <w:rPr>
          <w:rFonts w:ascii="Times New Roman" w:hAnsi="Times New Roman" w:cs="Times New Roman"/>
          <w:sz w:val="24"/>
          <w:szCs w:val="24"/>
          <w:lang w:val="en-US"/>
        </w:rPr>
        <w:t xml:space="preserve"> 30 responden (50%) tidak BBLR</w:t>
      </w:r>
      <w:r w:rsidR="00AB36BC" w:rsidRPr="00754142">
        <w:rPr>
          <w:rFonts w:ascii="Times New Roman" w:hAnsi="Times New Roman" w:cs="Times New Roman"/>
          <w:sz w:val="24"/>
          <w:szCs w:val="24"/>
        </w:rPr>
        <w:t>.</w:t>
      </w:r>
    </w:p>
    <w:p w:rsidR="00AB36BC" w:rsidRPr="00754142" w:rsidRDefault="000A7B70" w:rsidP="00AB36BC">
      <w:pPr>
        <w:pStyle w:val="ListParagraph"/>
        <w:spacing w:line="240" w:lineRule="auto"/>
        <w:ind w:left="0"/>
        <w:jc w:val="both"/>
        <w:rPr>
          <w:rFonts w:ascii="Times New Roman" w:hAnsi="Times New Roman" w:cs="Times New Roman"/>
          <w:sz w:val="24"/>
          <w:szCs w:val="24"/>
        </w:rPr>
      </w:pPr>
      <w:r w:rsidRPr="00754142">
        <w:rPr>
          <w:rFonts w:ascii="Times New Roman" w:hAnsi="Times New Roman" w:cs="Times New Roman"/>
          <w:sz w:val="24"/>
          <w:szCs w:val="24"/>
          <w:lang w:val="en-US"/>
        </w:rPr>
        <w:t>Tidak ada hubungan yang bermakna umur</w:t>
      </w:r>
      <w:r w:rsidRPr="00754142">
        <w:rPr>
          <w:rFonts w:ascii="Times New Roman" w:hAnsi="Times New Roman" w:cs="Times New Roman"/>
          <w:sz w:val="24"/>
          <w:szCs w:val="24"/>
        </w:rPr>
        <w:t xml:space="preserve"> dengan kejadian BBLR di RSUD Raden Mattaher Jambi Tahun 2016 - 2017</w:t>
      </w:r>
      <w:r w:rsidRPr="00754142">
        <w:rPr>
          <w:rFonts w:ascii="Times New Roman" w:hAnsi="Times New Roman" w:cs="Times New Roman"/>
          <w:sz w:val="24"/>
          <w:szCs w:val="24"/>
          <w:lang w:val="en-US"/>
        </w:rPr>
        <w:t xml:space="preserve"> dengan p </w:t>
      </w:r>
      <w:r w:rsidRPr="00754142">
        <w:rPr>
          <w:rFonts w:ascii="Times New Roman" w:hAnsi="Times New Roman" w:cs="Times New Roman"/>
          <w:i/>
          <w:sz w:val="24"/>
          <w:szCs w:val="24"/>
          <w:lang w:val="en-US"/>
        </w:rPr>
        <w:t>value</w:t>
      </w:r>
      <w:r w:rsidR="00AB36BC" w:rsidRPr="00754142">
        <w:rPr>
          <w:rFonts w:ascii="Times New Roman" w:hAnsi="Times New Roman" w:cs="Times New Roman"/>
          <w:sz w:val="24"/>
          <w:szCs w:val="24"/>
          <w:lang w:val="en-US"/>
        </w:rPr>
        <w:t xml:space="preserve"> = 0,360</w:t>
      </w:r>
      <w:r w:rsidR="00AB36BC" w:rsidRPr="00754142">
        <w:rPr>
          <w:rFonts w:ascii="Times New Roman" w:hAnsi="Times New Roman" w:cs="Times New Roman"/>
          <w:sz w:val="24"/>
          <w:szCs w:val="24"/>
        </w:rPr>
        <w:t>.</w:t>
      </w:r>
    </w:p>
    <w:p w:rsidR="00AB36BC" w:rsidRPr="00754142" w:rsidRDefault="000A7B70" w:rsidP="00AB36BC">
      <w:pPr>
        <w:pStyle w:val="ListParagraph"/>
        <w:spacing w:line="240" w:lineRule="auto"/>
        <w:ind w:left="0"/>
        <w:jc w:val="both"/>
        <w:rPr>
          <w:rFonts w:ascii="Times New Roman" w:hAnsi="Times New Roman" w:cs="Times New Roman"/>
          <w:sz w:val="24"/>
          <w:szCs w:val="24"/>
        </w:rPr>
      </w:pPr>
      <w:r w:rsidRPr="00754142">
        <w:rPr>
          <w:rFonts w:ascii="Times New Roman" w:hAnsi="Times New Roman" w:cs="Times New Roman"/>
          <w:sz w:val="24"/>
          <w:szCs w:val="24"/>
          <w:lang w:val="en-US"/>
        </w:rPr>
        <w:t xml:space="preserve">Ada hubungan yang bermakna paritas </w:t>
      </w:r>
      <w:r w:rsidRPr="00754142">
        <w:rPr>
          <w:rFonts w:ascii="Times New Roman" w:hAnsi="Times New Roman" w:cs="Times New Roman"/>
          <w:sz w:val="24"/>
          <w:szCs w:val="24"/>
        </w:rPr>
        <w:t>dengan kejadian BBLR di RSUD Raden Mattaher Jambi Tahun 2016 - 2017</w:t>
      </w:r>
      <w:r w:rsidRPr="00754142">
        <w:rPr>
          <w:rFonts w:ascii="Times New Roman" w:hAnsi="Times New Roman" w:cs="Times New Roman"/>
          <w:sz w:val="24"/>
          <w:szCs w:val="24"/>
          <w:lang w:val="en-US"/>
        </w:rPr>
        <w:t xml:space="preserve"> dengan p </w:t>
      </w:r>
      <w:r w:rsidRPr="00754142">
        <w:rPr>
          <w:rFonts w:ascii="Times New Roman" w:hAnsi="Times New Roman" w:cs="Times New Roman"/>
          <w:i/>
          <w:sz w:val="24"/>
          <w:szCs w:val="24"/>
          <w:lang w:val="en-US"/>
        </w:rPr>
        <w:t>value</w:t>
      </w:r>
      <w:r w:rsidR="00AB36BC" w:rsidRPr="00754142">
        <w:rPr>
          <w:rFonts w:ascii="Times New Roman" w:hAnsi="Times New Roman" w:cs="Times New Roman"/>
          <w:sz w:val="24"/>
          <w:szCs w:val="24"/>
          <w:lang w:val="en-US"/>
        </w:rPr>
        <w:t xml:space="preserve"> = 0,009</w:t>
      </w:r>
      <w:r w:rsidR="00AB36BC" w:rsidRPr="00754142">
        <w:rPr>
          <w:rFonts w:ascii="Times New Roman" w:hAnsi="Times New Roman" w:cs="Times New Roman"/>
          <w:sz w:val="24"/>
          <w:szCs w:val="24"/>
        </w:rPr>
        <w:t>.</w:t>
      </w:r>
    </w:p>
    <w:p w:rsidR="00847110" w:rsidRPr="00754142" w:rsidRDefault="000A7B70" w:rsidP="00AB36BC">
      <w:pPr>
        <w:pStyle w:val="ListParagraph"/>
        <w:spacing w:line="240" w:lineRule="auto"/>
        <w:ind w:left="0"/>
        <w:jc w:val="both"/>
        <w:rPr>
          <w:rFonts w:ascii="Times New Roman" w:hAnsi="Times New Roman" w:cs="Times New Roman"/>
          <w:sz w:val="24"/>
          <w:szCs w:val="24"/>
        </w:rPr>
      </w:pPr>
      <w:r w:rsidRPr="00754142">
        <w:rPr>
          <w:rFonts w:ascii="Times New Roman" w:hAnsi="Times New Roman" w:cs="Times New Roman"/>
          <w:sz w:val="24"/>
          <w:szCs w:val="24"/>
          <w:lang w:val="en-US"/>
        </w:rPr>
        <w:t>Ada hubungan yang bermakna anemia</w:t>
      </w:r>
      <w:r w:rsidRPr="00754142">
        <w:rPr>
          <w:rFonts w:ascii="Times New Roman" w:hAnsi="Times New Roman" w:cs="Times New Roman"/>
          <w:sz w:val="24"/>
          <w:szCs w:val="24"/>
        </w:rPr>
        <w:t xml:space="preserve"> dengan kejadian BBLR di RSUD Raden Mattaher Jambi Tahun 2016 - 2017</w:t>
      </w:r>
      <w:r w:rsidRPr="00754142">
        <w:rPr>
          <w:rFonts w:ascii="Times New Roman" w:hAnsi="Times New Roman" w:cs="Times New Roman"/>
          <w:sz w:val="24"/>
          <w:szCs w:val="24"/>
          <w:lang w:val="en-US"/>
        </w:rPr>
        <w:t xml:space="preserve"> dengan p </w:t>
      </w:r>
      <w:r w:rsidRPr="00754142">
        <w:rPr>
          <w:rFonts w:ascii="Times New Roman" w:hAnsi="Times New Roman" w:cs="Times New Roman"/>
          <w:i/>
          <w:sz w:val="24"/>
          <w:szCs w:val="24"/>
          <w:lang w:val="en-US"/>
        </w:rPr>
        <w:t>value</w:t>
      </w:r>
      <w:r w:rsidRPr="00754142">
        <w:rPr>
          <w:rFonts w:ascii="Times New Roman" w:hAnsi="Times New Roman" w:cs="Times New Roman"/>
          <w:sz w:val="24"/>
          <w:szCs w:val="24"/>
          <w:lang w:val="en-US"/>
        </w:rPr>
        <w:t xml:space="preserve"> = 0,038</w:t>
      </w:r>
    </w:p>
    <w:p w:rsidR="00D449A2" w:rsidRPr="00754142" w:rsidRDefault="00C841EB" w:rsidP="00AB36BC">
      <w:pPr>
        <w:jc w:val="both"/>
        <w:rPr>
          <w:b/>
          <w:lang w:val="id-ID"/>
        </w:rPr>
      </w:pPr>
      <w:r w:rsidRPr="00754142">
        <w:rPr>
          <w:b/>
        </w:rPr>
        <w:t>PUSTAKA</w:t>
      </w:r>
    </w:p>
    <w:p w:rsidR="000A7B70" w:rsidRPr="00754142" w:rsidRDefault="000A7B70" w:rsidP="00AB36BC">
      <w:pPr>
        <w:shd w:val="clear" w:color="auto" w:fill="FFFFFF"/>
        <w:ind w:left="709" w:hanging="709"/>
        <w:jc w:val="both"/>
        <w:textAlignment w:val="baseline"/>
        <w:rPr>
          <w:lang w:val="id-ID"/>
        </w:rPr>
      </w:pPr>
      <w:r w:rsidRPr="00754142">
        <w:rPr>
          <w:lang w:val="id-ID"/>
        </w:rPr>
        <w:t xml:space="preserve">Amiruddin, 2014. </w:t>
      </w:r>
      <w:r w:rsidRPr="00754142">
        <w:rPr>
          <w:i/>
          <w:lang w:val="id-ID"/>
        </w:rPr>
        <w:t>Determinan Kesehatan Ibu dan Anak</w:t>
      </w:r>
      <w:r w:rsidRPr="00754142">
        <w:rPr>
          <w:lang w:val="id-ID"/>
        </w:rPr>
        <w:t>. Jakarta : Trans Info Media</w:t>
      </w:r>
    </w:p>
    <w:p w:rsidR="000A7B70" w:rsidRPr="00754142" w:rsidRDefault="000A7B70" w:rsidP="00AB36BC">
      <w:pPr>
        <w:shd w:val="clear" w:color="auto" w:fill="FFFFFF"/>
        <w:ind w:left="720" w:hanging="720"/>
        <w:jc w:val="both"/>
        <w:textAlignment w:val="baseline"/>
        <w:rPr>
          <w:lang w:val="id-ID"/>
        </w:rPr>
      </w:pPr>
      <w:r w:rsidRPr="00754142">
        <w:t xml:space="preserve">Andria. 2017. </w:t>
      </w:r>
      <w:r w:rsidRPr="00754142">
        <w:rPr>
          <w:i/>
        </w:rPr>
        <w:t xml:space="preserve">Hubungan Anemia Pada Ibu Hamil Dengan Kejadian Berat Badan Lahir Rendah (BBLR) di Rumah Sakit Umum Daerah Rokan </w:t>
      </w:r>
      <w:r w:rsidRPr="00754142">
        <w:rPr>
          <w:i/>
        </w:rPr>
        <w:lastRenderedPageBreak/>
        <w:t>Hulu tahun 2017</w:t>
      </w:r>
      <w:r w:rsidRPr="00754142">
        <w:t>. Diakses tanggal 24 Mei 2018</w:t>
      </w:r>
    </w:p>
    <w:p w:rsidR="000A7B70" w:rsidRPr="00754142" w:rsidRDefault="000A7B70" w:rsidP="00AB36BC">
      <w:pPr>
        <w:shd w:val="clear" w:color="auto" w:fill="FFFFFF"/>
        <w:ind w:left="720" w:hanging="720"/>
        <w:jc w:val="both"/>
        <w:textAlignment w:val="baseline"/>
        <w:rPr>
          <w:lang w:val="id-ID"/>
        </w:rPr>
      </w:pPr>
      <w:proofErr w:type="gramStart"/>
      <w:r w:rsidRPr="00754142">
        <w:t>Andrian, 2015.</w:t>
      </w:r>
      <w:proofErr w:type="gramEnd"/>
      <w:r w:rsidRPr="00754142">
        <w:t xml:space="preserve"> </w:t>
      </w:r>
      <w:proofErr w:type="gramStart"/>
      <w:r w:rsidRPr="00754142">
        <w:rPr>
          <w:i/>
        </w:rPr>
        <w:t>Hubungan umur dan paritas ibu dengan kejadian BBLR di RSUD Dr. Achmad Mochtar pada tahun 2015</w:t>
      </w:r>
      <w:r w:rsidR="00AB36BC" w:rsidRPr="00754142">
        <w:t>.</w:t>
      </w:r>
      <w:proofErr w:type="gramEnd"/>
      <w:r w:rsidR="00AB36BC" w:rsidRPr="00754142">
        <w:t xml:space="preserve"> Diakses tanggal 24 Mei 201</w:t>
      </w:r>
      <w:r w:rsidR="00AB36BC" w:rsidRPr="00754142">
        <w:rPr>
          <w:lang w:val="id-ID"/>
        </w:rPr>
        <w:t>8</w:t>
      </w:r>
    </w:p>
    <w:p w:rsidR="00AB36BC" w:rsidRPr="00754142" w:rsidRDefault="000A7B70" w:rsidP="00AB36BC">
      <w:pPr>
        <w:ind w:left="709" w:hanging="709"/>
        <w:jc w:val="both"/>
        <w:rPr>
          <w:lang w:val="id-ID"/>
        </w:rPr>
      </w:pPr>
      <w:r w:rsidRPr="00754142">
        <w:rPr>
          <w:lang w:val="pt-BR"/>
        </w:rPr>
        <w:t xml:space="preserve">Ariani, 2014. </w:t>
      </w:r>
      <w:r w:rsidRPr="00754142">
        <w:rPr>
          <w:i/>
          <w:lang w:val="pt-BR"/>
        </w:rPr>
        <w:t>Metodologi penelitian kebidanan dan kesehatan reproduksi</w:t>
      </w:r>
      <w:r w:rsidRPr="00754142">
        <w:rPr>
          <w:lang w:val="pt-BR"/>
        </w:rPr>
        <w:t>. Nuha Medika : Yogyakarta</w:t>
      </w:r>
    </w:p>
    <w:p w:rsidR="00AB36BC" w:rsidRPr="00754142" w:rsidRDefault="000A7B70" w:rsidP="00AB36BC">
      <w:pPr>
        <w:ind w:left="709" w:hanging="709"/>
        <w:jc w:val="both"/>
        <w:rPr>
          <w:lang w:val="id-ID"/>
        </w:rPr>
      </w:pPr>
      <w:proofErr w:type="gramStart"/>
      <w:r w:rsidRPr="00754142">
        <w:t>Aryani, 2010.</w:t>
      </w:r>
      <w:proofErr w:type="gramEnd"/>
      <w:r w:rsidRPr="00754142">
        <w:t xml:space="preserve"> </w:t>
      </w:r>
      <w:r w:rsidRPr="00754142">
        <w:rPr>
          <w:i/>
          <w:shd w:val="clear" w:color="auto" w:fill="FFFFFF"/>
        </w:rPr>
        <w:t>Kesehatan </w:t>
      </w:r>
      <w:proofErr w:type="gramStart"/>
      <w:r w:rsidRPr="00754142">
        <w:rPr>
          <w:rStyle w:val="Emphasis"/>
          <w:bCs/>
          <w:i w:val="0"/>
          <w:iCs w:val="0"/>
          <w:shd w:val="clear" w:color="auto" w:fill="FFFFFF"/>
        </w:rPr>
        <w:t>Remaja</w:t>
      </w:r>
      <w:r w:rsidRPr="00754142">
        <w:rPr>
          <w:shd w:val="clear" w:color="auto" w:fill="FFFFFF"/>
        </w:rPr>
        <w:t> :</w:t>
      </w:r>
      <w:proofErr w:type="gramEnd"/>
      <w:r w:rsidRPr="00754142">
        <w:rPr>
          <w:shd w:val="clear" w:color="auto" w:fill="FFFFFF"/>
        </w:rPr>
        <w:t> </w:t>
      </w:r>
      <w:r w:rsidRPr="00754142">
        <w:rPr>
          <w:rStyle w:val="Emphasis"/>
          <w:bCs/>
          <w:i w:val="0"/>
          <w:iCs w:val="0"/>
          <w:shd w:val="clear" w:color="auto" w:fill="FFFFFF"/>
        </w:rPr>
        <w:t>Problem</w:t>
      </w:r>
      <w:r w:rsidRPr="00754142">
        <w:rPr>
          <w:shd w:val="clear" w:color="auto" w:fill="FFFFFF"/>
        </w:rPr>
        <w:t> dan Solusinya, Jakarta : Salemba Medika</w:t>
      </w:r>
      <w:r w:rsidRPr="00754142">
        <w:t xml:space="preserve"> </w:t>
      </w:r>
    </w:p>
    <w:p w:rsidR="000A7B70" w:rsidRPr="00754142" w:rsidRDefault="000A7B70" w:rsidP="00AB36BC">
      <w:pPr>
        <w:ind w:left="709" w:hanging="709"/>
        <w:jc w:val="both"/>
        <w:rPr>
          <w:lang w:val="id-ID"/>
        </w:rPr>
      </w:pPr>
      <w:r w:rsidRPr="00754142">
        <w:t xml:space="preserve">Kemenkes RI, 2014. </w:t>
      </w:r>
      <w:proofErr w:type="gramStart"/>
      <w:r w:rsidRPr="00754142">
        <w:rPr>
          <w:i/>
        </w:rPr>
        <w:t>Profil Kesehatan Indonesia 2014</w:t>
      </w:r>
      <w:r w:rsidRPr="00754142">
        <w:t>.</w:t>
      </w:r>
      <w:proofErr w:type="gramEnd"/>
      <w:r w:rsidRPr="00754142">
        <w:t xml:space="preserve"> </w:t>
      </w:r>
      <w:hyperlink r:id="rId6" w:history="1">
        <w:r w:rsidRPr="00754142">
          <w:rPr>
            <w:rStyle w:val="Hyperlink"/>
            <w:color w:val="auto"/>
          </w:rPr>
          <w:t>www.depkes.go.id</w:t>
        </w:r>
      </w:hyperlink>
    </w:p>
    <w:p w:rsidR="000A7B70" w:rsidRPr="00754142" w:rsidRDefault="000A7B70" w:rsidP="00AB36BC">
      <w:pPr>
        <w:shd w:val="clear" w:color="auto" w:fill="FFFFFF"/>
        <w:ind w:left="709" w:hanging="709"/>
        <w:jc w:val="both"/>
        <w:textAlignment w:val="baseline"/>
        <w:rPr>
          <w:lang w:val="id-ID"/>
        </w:rPr>
      </w:pPr>
      <w:proofErr w:type="gramStart"/>
      <w:r w:rsidRPr="00754142">
        <w:t>Kalifah.</w:t>
      </w:r>
      <w:proofErr w:type="gramEnd"/>
      <w:r w:rsidRPr="00754142">
        <w:t xml:space="preserve"> 2013. </w:t>
      </w:r>
      <w:r w:rsidRPr="00754142">
        <w:rPr>
          <w:i/>
        </w:rPr>
        <w:t>Hubungan paritas dengan berat badan lahir rendah (BBLR) di wilayah kerja Puskesmas Bareng Kabupaten Jombang tahun 2012</w:t>
      </w:r>
      <w:r w:rsidRPr="00754142">
        <w:t>. Diakses tanggal 24 Mei 2018</w:t>
      </w:r>
    </w:p>
    <w:p w:rsidR="000A7B70" w:rsidRPr="00754142" w:rsidRDefault="000A7B70" w:rsidP="00AB36BC">
      <w:pPr>
        <w:shd w:val="clear" w:color="auto" w:fill="FFFFFF"/>
        <w:ind w:left="709" w:hanging="709"/>
        <w:jc w:val="both"/>
        <w:textAlignment w:val="baseline"/>
        <w:rPr>
          <w:lang w:val="id-ID"/>
        </w:rPr>
      </w:pPr>
      <w:proofErr w:type="gramStart"/>
      <w:r w:rsidRPr="00754142">
        <w:t>Manuaba, 2010.</w:t>
      </w:r>
      <w:proofErr w:type="gramEnd"/>
      <w:r w:rsidRPr="00754142">
        <w:t xml:space="preserve"> </w:t>
      </w:r>
      <w:r w:rsidRPr="00754142">
        <w:rPr>
          <w:i/>
        </w:rPr>
        <w:t>Ilmu Kandungan</w:t>
      </w:r>
      <w:r w:rsidRPr="00754142">
        <w:t xml:space="preserve">. </w:t>
      </w:r>
      <w:proofErr w:type="gramStart"/>
      <w:r w:rsidRPr="00754142">
        <w:t>Jakarta :</w:t>
      </w:r>
      <w:proofErr w:type="gramEnd"/>
      <w:r w:rsidRPr="00754142">
        <w:t xml:space="preserve"> Penerbit Nuha Medika</w:t>
      </w:r>
    </w:p>
    <w:p w:rsidR="000A7B70" w:rsidRPr="00754142" w:rsidRDefault="000A7B70" w:rsidP="00AB36BC">
      <w:pPr>
        <w:shd w:val="clear" w:color="auto" w:fill="FFFFFF"/>
        <w:ind w:left="709" w:hanging="709"/>
        <w:jc w:val="both"/>
        <w:textAlignment w:val="baseline"/>
        <w:rPr>
          <w:lang w:val="id-ID"/>
        </w:rPr>
      </w:pPr>
      <w:r w:rsidRPr="00754142">
        <w:rPr>
          <w:lang w:val="id-ID"/>
        </w:rPr>
        <w:t xml:space="preserve">Marmi, dkk, 2012. </w:t>
      </w:r>
      <w:r w:rsidRPr="00754142">
        <w:rPr>
          <w:i/>
          <w:lang w:val="id-ID"/>
        </w:rPr>
        <w:t>Asuhan Neonatus, Bayi, Balita, dan Prasekolah</w:t>
      </w:r>
      <w:r w:rsidRPr="00754142">
        <w:rPr>
          <w:lang w:val="id-ID"/>
        </w:rPr>
        <w:t>. Yogyakarta : Pustaka belajar</w:t>
      </w:r>
    </w:p>
    <w:p w:rsidR="000A7B70" w:rsidRPr="00754142" w:rsidRDefault="000A7B70" w:rsidP="00AB36BC">
      <w:pPr>
        <w:shd w:val="clear" w:color="auto" w:fill="FFFFFF"/>
        <w:ind w:left="709" w:hanging="709"/>
        <w:jc w:val="both"/>
        <w:textAlignment w:val="baseline"/>
        <w:rPr>
          <w:lang w:val="id-ID"/>
        </w:rPr>
      </w:pPr>
      <w:r w:rsidRPr="00754142">
        <w:rPr>
          <w:lang w:val="id-ID"/>
        </w:rPr>
        <w:t xml:space="preserve">Maryunani, 2013. </w:t>
      </w:r>
      <w:r w:rsidRPr="00754142">
        <w:rPr>
          <w:i/>
          <w:lang w:val="id-ID"/>
        </w:rPr>
        <w:t>Asuhan Kegawatdaruratan Maternal dan Neonatal</w:t>
      </w:r>
      <w:r w:rsidRPr="00754142">
        <w:rPr>
          <w:lang w:val="id-ID"/>
        </w:rPr>
        <w:t>. Jakarta : CV Trans Info Media</w:t>
      </w:r>
    </w:p>
    <w:p w:rsidR="000A7B70" w:rsidRPr="00754142" w:rsidRDefault="000A7B70" w:rsidP="00AB36BC">
      <w:pPr>
        <w:shd w:val="clear" w:color="auto" w:fill="FFFFFF"/>
        <w:ind w:left="709" w:hanging="709"/>
        <w:jc w:val="both"/>
        <w:textAlignment w:val="baseline"/>
        <w:rPr>
          <w:lang w:val="id-ID"/>
        </w:rPr>
      </w:pPr>
      <w:r w:rsidRPr="00754142">
        <w:rPr>
          <w:lang w:val="id-ID"/>
        </w:rPr>
        <w:t xml:space="preserve">Nugroho, 2012. </w:t>
      </w:r>
      <w:r w:rsidRPr="00754142">
        <w:rPr>
          <w:i/>
          <w:lang w:val="id-ID"/>
        </w:rPr>
        <w:t>Obstetri dan Ginekologi</w:t>
      </w:r>
      <w:r w:rsidRPr="00754142">
        <w:rPr>
          <w:lang w:val="id-ID"/>
        </w:rPr>
        <w:t>. Nuha Medika. Yogyakarta</w:t>
      </w:r>
    </w:p>
    <w:p w:rsidR="000A7B70" w:rsidRPr="00754142" w:rsidRDefault="000A7B70" w:rsidP="00AB36BC">
      <w:pPr>
        <w:ind w:left="709" w:hanging="709"/>
        <w:jc w:val="both"/>
        <w:rPr>
          <w:lang w:val="id-ID"/>
        </w:rPr>
      </w:pPr>
      <w:r w:rsidRPr="00754142">
        <w:rPr>
          <w:lang w:val="pt-BR"/>
        </w:rPr>
        <w:t xml:space="preserve">Noor. 2008. </w:t>
      </w:r>
      <w:r w:rsidRPr="00754142">
        <w:rPr>
          <w:i/>
          <w:lang w:val="pt-BR"/>
        </w:rPr>
        <w:t>Epidemiologi</w:t>
      </w:r>
      <w:r w:rsidRPr="00754142">
        <w:rPr>
          <w:lang w:val="pt-BR"/>
        </w:rPr>
        <w:t>. Jakarta : Rineka Cipta</w:t>
      </w:r>
    </w:p>
    <w:p w:rsidR="000A7B70" w:rsidRPr="00754142" w:rsidRDefault="000A7B70" w:rsidP="00AB36BC">
      <w:pPr>
        <w:ind w:left="709" w:hanging="709"/>
        <w:jc w:val="both"/>
        <w:rPr>
          <w:lang w:val="id-ID"/>
        </w:rPr>
      </w:pPr>
      <w:r w:rsidRPr="00754142">
        <w:rPr>
          <w:lang w:val="pt-BR"/>
        </w:rPr>
        <w:t xml:space="preserve">Notoatmodjo, </w:t>
      </w:r>
      <w:r w:rsidRPr="00754142">
        <w:rPr>
          <w:lang w:val="id-ID"/>
        </w:rPr>
        <w:t>Soekidjo</w:t>
      </w:r>
      <w:r w:rsidRPr="00754142">
        <w:rPr>
          <w:lang w:val="pt-BR"/>
        </w:rPr>
        <w:t xml:space="preserve">, 2012. </w:t>
      </w:r>
      <w:r w:rsidRPr="00754142">
        <w:rPr>
          <w:i/>
          <w:iCs/>
          <w:lang w:val="pt-BR"/>
        </w:rPr>
        <w:t>Metodologi Penelitian  Kesehatan</w:t>
      </w:r>
      <w:r w:rsidRPr="00754142">
        <w:rPr>
          <w:iCs/>
          <w:lang w:val="pt-BR"/>
        </w:rPr>
        <w:t xml:space="preserve">. Penerbit </w:t>
      </w:r>
      <w:r w:rsidRPr="00754142">
        <w:rPr>
          <w:lang w:val="pt-BR"/>
        </w:rPr>
        <w:t>PT. Rineka Cipta.Jakarta</w:t>
      </w:r>
    </w:p>
    <w:p w:rsidR="000A7B70" w:rsidRPr="00754142" w:rsidRDefault="000A7B70" w:rsidP="00AB36BC">
      <w:pPr>
        <w:ind w:left="720" w:hanging="720"/>
        <w:jc w:val="both"/>
        <w:rPr>
          <w:lang w:val="id-ID"/>
        </w:rPr>
      </w:pPr>
      <w:proofErr w:type="gramStart"/>
      <w:r w:rsidRPr="00754142">
        <w:t>Pinontoan, 2015.</w:t>
      </w:r>
      <w:proofErr w:type="gramEnd"/>
      <w:r w:rsidRPr="00754142">
        <w:t xml:space="preserve"> </w:t>
      </w:r>
      <w:proofErr w:type="gramStart"/>
      <w:r w:rsidRPr="00754142">
        <w:rPr>
          <w:i/>
        </w:rPr>
        <w:t>Hubungan umur dan paritas ibu dengan kejadian bayi berat lahir rendah di ruangan NICU RSUP Prof.Dr.R.D.Kandou Manado</w:t>
      </w:r>
      <w:r w:rsidRPr="00754142">
        <w:t>.</w:t>
      </w:r>
      <w:proofErr w:type="gramEnd"/>
      <w:r w:rsidRPr="00754142">
        <w:t xml:space="preserve"> Diakses tanggal 24 Mei 2018</w:t>
      </w:r>
    </w:p>
    <w:p w:rsidR="000A7B70" w:rsidRPr="00754142" w:rsidRDefault="000A7B70" w:rsidP="00AB36BC">
      <w:pPr>
        <w:ind w:left="720" w:hanging="720"/>
        <w:jc w:val="both"/>
        <w:rPr>
          <w:lang w:val="id-ID"/>
        </w:rPr>
      </w:pPr>
      <w:proofErr w:type="gramStart"/>
      <w:r w:rsidRPr="00754142">
        <w:t>Pamungkas, 2014.</w:t>
      </w:r>
      <w:proofErr w:type="gramEnd"/>
      <w:r w:rsidRPr="00754142">
        <w:t xml:space="preserve"> </w:t>
      </w:r>
      <w:proofErr w:type="gramStart"/>
      <w:r w:rsidRPr="00754142">
        <w:rPr>
          <w:i/>
        </w:rPr>
        <w:t>Hubungan umur dan paritas ibu dengan kejadian bayi berat lahir rendah di ruangan NICU RSUP Prof.Dr.R.D.Kandou Manado</w:t>
      </w:r>
      <w:r w:rsidRPr="00754142">
        <w:t>.</w:t>
      </w:r>
      <w:proofErr w:type="gramEnd"/>
      <w:r w:rsidRPr="00754142">
        <w:t xml:space="preserve"> Diakses tanggal 24 Mei 2018</w:t>
      </w:r>
    </w:p>
    <w:p w:rsidR="000A7B70" w:rsidRPr="00754142" w:rsidRDefault="000A7B70" w:rsidP="00AB36BC">
      <w:pPr>
        <w:ind w:left="720" w:hanging="720"/>
        <w:jc w:val="both"/>
        <w:rPr>
          <w:lang w:val="id-ID"/>
        </w:rPr>
      </w:pPr>
      <w:r w:rsidRPr="00754142">
        <w:rPr>
          <w:lang w:val="id-ID"/>
        </w:rPr>
        <w:lastRenderedPageBreak/>
        <w:t xml:space="preserve">Prasetyawati, 2012. </w:t>
      </w:r>
      <w:r w:rsidRPr="00754142">
        <w:rPr>
          <w:i/>
          <w:lang w:val="id-ID"/>
        </w:rPr>
        <w:t>Kesehatan Ibu dan Anak</w:t>
      </w:r>
      <w:r w:rsidRPr="00754142">
        <w:rPr>
          <w:lang w:val="id-ID"/>
        </w:rPr>
        <w:t>. Nuha Medika : Yogyakarta</w:t>
      </w:r>
    </w:p>
    <w:p w:rsidR="000A7B70" w:rsidRPr="00754142" w:rsidRDefault="000A7B70" w:rsidP="00AB36BC">
      <w:pPr>
        <w:ind w:left="720" w:hanging="720"/>
        <w:jc w:val="both"/>
        <w:rPr>
          <w:lang w:val="id-ID"/>
        </w:rPr>
      </w:pPr>
      <w:r w:rsidRPr="00754142">
        <w:rPr>
          <w:lang w:val="id-ID"/>
        </w:rPr>
        <w:t>Profil Jambi, 201</w:t>
      </w:r>
      <w:r w:rsidRPr="00754142">
        <w:t>5</w:t>
      </w:r>
      <w:r w:rsidRPr="00754142">
        <w:rPr>
          <w:lang w:val="id-ID"/>
        </w:rPr>
        <w:t xml:space="preserve">. </w:t>
      </w:r>
      <w:r w:rsidRPr="00754142">
        <w:rPr>
          <w:i/>
          <w:lang w:val="id-ID"/>
        </w:rPr>
        <w:t>Angka Kematian Bayi</w:t>
      </w:r>
      <w:r w:rsidRPr="00754142">
        <w:rPr>
          <w:lang w:val="id-ID"/>
        </w:rPr>
        <w:t>. Jakarta</w:t>
      </w:r>
    </w:p>
    <w:p w:rsidR="000A7B70" w:rsidRPr="00754142" w:rsidRDefault="000A7B70" w:rsidP="00AB36BC">
      <w:pPr>
        <w:ind w:left="720" w:hanging="720"/>
        <w:jc w:val="both"/>
        <w:rPr>
          <w:lang w:val="id-ID"/>
        </w:rPr>
      </w:pPr>
      <w:proofErr w:type="gramStart"/>
      <w:r w:rsidRPr="00754142">
        <w:t>Purwaningsih.</w:t>
      </w:r>
      <w:proofErr w:type="gramEnd"/>
      <w:r w:rsidRPr="00754142">
        <w:t xml:space="preserve"> 2012. </w:t>
      </w:r>
      <w:r w:rsidRPr="00754142">
        <w:rPr>
          <w:i/>
        </w:rPr>
        <w:t xml:space="preserve">Hubungan </w:t>
      </w:r>
      <w:proofErr w:type="gramStart"/>
      <w:r w:rsidRPr="00754142">
        <w:rPr>
          <w:i/>
        </w:rPr>
        <w:t>usia</w:t>
      </w:r>
      <w:proofErr w:type="gramEnd"/>
      <w:r w:rsidRPr="00754142">
        <w:rPr>
          <w:i/>
        </w:rPr>
        <w:t xml:space="preserve"> ibu dan paritas dengan tingkat kejadian BBLR di Wilayah Kerja Puskesmas Plered, Kecamatan Plered Kabupaten Puswakarta Tahun 2014</w:t>
      </w:r>
      <w:r w:rsidRPr="00754142">
        <w:t>. Diakses tanggal 24 Mei 2018</w:t>
      </w:r>
    </w:p>
    <w:p w:rsidR="000A7B70" w:rsidRPr="00754142" w:rsidRDefault="000A7B70" w:rsidP="00AB36BC">
      <w:pPr>
        <w:ind w:left="720" w:hanging="720"/>
        <w:jc w:val="both"/>
        <w:rPr>
          <w:lang w:val="id-ID"/>
        </w:rPr>
      </w:pPr>
      <w:proofErr w:type="gramStart"/>
      <w:r w:rsidRPr="00754142">
        <w:t>Ranung, 2015.</w:t>
      </w:r>
      <w:proofErr w:type="gramEnd"/>
      <w:r w:rsidRPr="00754142">
        <w:t xml:space="preserve"> </w:t>
      </w:r>
      <w:proofErr w:type="gramStart"/>
      <w:r w:rsidRPr="00754142">
        <w:rPr>
          <w:i/>
        </w:rPr>
        <w:t>Hubungan antara Usia Ibu Bersalin dengan Kejadian BBLR di Rumah Sakit Pancaran Kasih GMIM Manado periode Januari sampai Desember 2014</w:t>
      </w:r>
      <w:r w:rsidRPr="00754142">
        <w:t>.</w:t>
      </w:r>
      <w:proofErr w:type="gramEnd"/>
      <w:r w:rsidRPr="00754142">
        <w:t xml:space="preserve"> Diakses tanggal 24 Mei 2018</w:t>
      </w:r>
    </w:p>
    <w:p w:rsidR="000A7B70" w:rsidRPr="00754142" w:rsidRDefault="000A7B70" w:rsidP="00AB36BC">
      <w:pPr>
        <w:ind w:left="720" w:hanging="720"/>
        <w:jc w:val="both"/>
        <w:rPr>
          <w:lang w:val="id-ID"/>
        </w:rPr>
      </w:pPr>
      <w:r w:rsidRPr="00754142">
        <w:rPr>
          <w:lang w:val="id-ID"/>
        </w:rPr>
        <w:t xml:space="preserve">Rukiyah, 2010. </w:t>
      </w:r>
      <w:r w:rsidRPr="00754142">
        <w:rPr>
          <w:i/>
          <w:lang w:val="id-ID"/>
        </w:rPr>
        <w:t>Asuhan Neonatus, Bayi dan Balita</w:t>
      </w:r>
      <w:r w:rsidRPr="00754142">
        <w:rPr>
          <w:lang w:val="id-ID"/>
        </w:rPr>
        <w:t>. Jakarta : Trans Info Media</w:t>
      </w:r>
    </w:p>
    <w:p w:rsidR="000A7B70" w:rsidRPr="00754142" w:rsidRDefault="000A7B70" w:rsidP="00AB36BC">
      <w:pPr>
        <w:ind w:left="720" w:hanging="720"/>
        <w:jc w:val="both"/>
        <w:rPr>
          <w:lang w:val="id-ID"/>
        </w:rPr>
      </w:pPr>
      <w:proofErr w:type="gramStart"/>
      <w:r w:rsidRPr="00754142">
        <w:t>Saryono</w:t>
      </w:r>
      <w:r w:rsidRPr="00754142">
        <w:rPr>
          <w:lang w:val="id-ID"/>
        </w:rPr>
        <w:t>, 2013</w:t>
      </w:r>
      <w:r w:rsidRPr="00754142">
        <w:t>.</w:t>
      </w:r>
      <w:proofErr w:type="gramEnd"/>
      <w:r w:rsidRPr="00754142">
        <w:t xml:space="preserve"> </w:t>
      </w:r>
      <w:proofErr w:type="gramStart"/>
      <w:r w:rsidRPr="00754142">
        <w:rPr>
          <w:i/>
        </w:rPr>
        <w:t>Metodologi Penelitian Kualitatif dan Kuantitatif</w:t>
      </w:r>
      <w:r w:rsidRPr="00754142">
        <w:t>.</w:t>
      </w:r>
      <w:proofErr w:type="gramEnd"/>
      <w:r w:rsidRPr="00754142">
        <w:t xml:space="preserve"> </w:t>
      </w:r>
      <w:proofErr w:type="gramStart"/>
      <w:r w:rsidRPr="00754142">
        <w:t>Yogyakarta :</w:t>
      </w:r>
      <w:proofErr w:type="gramEnd"/>
      <w:r w:rsidRPr="00754142">
        <w:t xml:space="preserve"> Nuha Medika</w:t>
      </w:r>
    </w:p>
    <w:p w:rsidR="000A7B70" w:rsidRPr="00754142" w:rsidRDefault="000A7B70" w:rsidP="00AB36BC">
      <w:pPr>
        <w:ind w:left="720" w:hanging="720"/>
        <w:jc w:val="both"/>
        <w:rPr>
          <w:lang w:val="id-ID"/>
        </w:rPr>
      </w:pPr>
      <w:r w:rsidRPr="00754142">
        <w:rPr>
          <w:lang w:val="id-ID"/>
        </w:rPr>
        <w:t xml:space="preserve">Setiawan, 2011. </w:t>
      </w:r>
      <w:r w:rsidRPr="00754142">
        <w:rPr>
          <w:i/>
          <w:lang w:val="id-ID"/>
        </w:rPr>
        <w:t>Metode Penelitian Kebidanan DIII, DIV, S1 dan S2</w:t>
      </w:r>
      <w:r w:rsidRPr="00754142">
        <w:rPr>
          <w:lang w:val="id-ID"/>
        </w:rPr>
        <w:t>. Yogyakarta : Nuha Medika</w:t>
      </w:r>
    </w:p>
    <w:p w:rsidR="000A7B70" w:rsidRPr="00754142" w:rsidRDefault="000A7B70" w:rsidP="00AB36BC">
      <w:pPr>
        <w:ind w:left="720" w:hanging="720"/>
        <w:jc w:val="both"/>
        <w:rPr>
          <w:lang w:val="id-ID"/>
        </w:rPr>
      </w:pPr>
      <w:proofErr w:type="gramStart"/>
      <w:r w:rsidRPr="00754142">
        <w:t>Sugiyono, 2012.</w:t>
      </w:r>
      <w:proofErr w:type="gramEnd"/>
      <w:r w:rsidRPr="00754142">
        <w:t xml:space="preserve"> </w:t>
      </w:r>
      <w:r w:rsidRPr="00754142">
        <w:rPr>
          <w:i/>
        </w:rPr>
        <w:t>Statistika Untuk Kesehatan</w:t>
      </w:r>
      <w:r w:rsidR="00AB36BC" w:rsidRPr="00754142">
        <w:t xml:space="preserve">. </w:t>
      </w:r>
      <w:proofErr w:type="gramStart"/>
      <w:r w:rsidR="00AB36BC" w:rsidRPr="00754142">
        <w:t>Bandung :</w:t>
      </w:r>
      <w:proofErr w:type="gramEnd"/>
      <w:r w:rsidR="00AB36BC" w:rsidRPr="00754142">
        <w:t xml:space="preserve"> Alfabet</w:t>
      </w:r>
      <w:r w:rsidR="00AB36BC" w:rsidRPr="00754142">
        <w:rPr>
          <w:lang w:val="id-ID"/>
        </w:rPr>
        <w:t>a</w:t>
      </w:r>
    </w:p>
    <w:p w:rsidR="000A7B70" w:rsidRPr="00754142" w:rsidRDefault="000A7B70" w:rsidP="00AB36BC">
      <w:pPr>
        <w:ind w:left="709" w:hanging="709"/>
        <w:jc w:val="both"/>
        <w:rPr>
          <w:lang w:val="id-ID"/>
        </w:rPr>
      </w:pPr>
      <w:proofErr w:type="gramStart"/>
      <w:r w:rsidRPr="00754142">
        <w:t>Suhartati.</w:t>
      </w:r>
      <w:proofErr w:type="gramEnd"/>
      <w:r w:rsidRPr="00754142">
        <w:t xml:space="preserve"> 2017. </w:t>
      </w:r>
      <w:r w:rsidRPr="00754142">
        <w:rPr>
          <w:i/>
        </w:rPr>
        <w:t>Hubungan anemia pada ibu hamil dengan kejadian bayi berat lahir rendah (BBLR) di wilayah kerja Puskesmas Tanta Tahun 2016</w:t>
      </w:r>
      <w:r w:rsidRPr="00754142">
        <w:t>. Diakses tanggal 24 Mei 2018</w:t>
      </w:r>
    </w:p>
    <w:p w:rsidR="000A7B70" w:rsidRPr="00754142" w:rsidRDefault="000A7B70" w:rsidP="00AB36BC">
      <w:pPr>
        <w:ind w:left="709" w:hanging="709"/>
        <w:jc w:val="both"/>
        <w:rPr>
          <w:lang w:val="id-ID"/>
        </w:rPr>
      </w:pPr>
      <w:proofErr w:type="gramStart"/>
      <w:r w:rsidRPr="00754142">
        <w:t>Sulistyoningsih, 2011.</w:t>
      </w:r>
      <w:proofErr w:type="gramEnd"/>
      <w:r w:rsidRPr="00754142">
        <w:t xml:space="preserve"> </w:t>
      </w:r>
      <w:proofErr w:type="gramStart"/>
      <w:r w:rsidRPr="00754142">
        <w:rPr>
          <w:i/>
        </w:rPr>
        <w:t>Gizi untuk kesehatan ibu dan anak</w:t>
      </w:r>
      <w:r w:rsidRPr="00754142">
        <w:t>.</w:t>
      </w:r>
      <w:proofErr w:type="gramEnd"/>
      <w:r w:rsidRPr="00754142">
        <w:t xml:space="preserve"> </w:t>
      </w:r>
      <w:proofErr w:type="gramStart"/>
      <w:r w:rsidRPr="00754142">
        <w:t>Yogyakarta :</w:t>
      </w:r>
      <w:proofErr w:type="gramEnd"/>
      <w:r w:rsidRPr="00754142">
        <w:t xml:space="preserve"> Graha Ilmu</w:t>
      </w:r>
      <w:r w:rsidRPr="00754142">
        <w:rPr>
          <w:lang w:val="id-ID"/>
        </w:rPr>
        <w:t xml:space="preserve"> </w:t>
      </w:r>
    </w:p>
    <w:p w:rsidR="000A7B70" w:rsidRPr="00754142" w:rsidRDefault="000A7B70" w:rsidP="00AB36BC">
      <w:pPr>
        <w:ind w:left="709" w:hanging="709"/>
        <w:jc w:val="both"/>
        <w:rPr>
          <w:lang w:val="id-ID"/>
        </w:rPr>
      </w:pPr>
      <w:r w:rsidRPr="00754142">
        <w:rPr>
          <w:lang w:val="id-ID"/>
        </w:rPr>
        <w:t xml:space="preserve">Tarwoto, 2013. </w:t>
      </w:r>
      <w:r w:rsidRPr="00754142">
        <w:rPr>
          <w:i/>
          <w:lang w:val="id-ID"/>
        </w:rPr>
        <w:t>Buku Saku Anemia Pada Ibu Hamil</w:t>
      </w:r>
      <w:r w:rsidRPr="00754142">
        <w:rPr>
          <w:lang w:val="id-ID"/>
        </w:rPr>
        <w:t>. Jakarta : Trans Info Media</w:t>
      </w:r>
    </w:p>
    <w:p w:rsidR="00D449A2" w:rsidRPr="00754142" w:rsidRDefault="000A7B70" w:rsidP="000A7B70">
      <w:pPr>
        <w:ind w:left="720" w:hanging="720"/>
        <w:jc w:val="both"/>
      </w:pPr>
      <w:proofErr w:type="gramStart"/>
      <w:r w:rsidRPr="00754142">
        <w:t>Wahyuning.</w:t>
      </w:r>
      <w:proofErr w:type="gramEnd"/>
      <w:r w:rsidRPr="00754142">
        <w:t xml:space="preserve"> 2015. </w:t>
      </w:r>
      <w:r w:rsidRPr="00754142">
        <w:rPr>
          <w:i/>
        </w:rPr>
        <w:t xml:space="preserve">Hubungan anemia, </w:t>
      </w:r>
      <w:proofErr w:type="gramStart"/>
      <w:r w:rsidRPr="00754142">
        <w:rPr>
          <w:i/>
        </w:rPr>
        <w:t>usia</w:t>
      </w:r>
      <w:proofErr w:type="gramEnd"/>
      <w:r w:rsidRPr="00754142">
        <w:rPr>
          <w:i/>
        </w:rPr>
        <w:t xml:space="preserve"> dan paritas ibu dengan kejadian BBLR di RSUD dr.H.Soewondo Kendal</w:t>
      </w:r>
      <w:r w:rsidRPr="00754142">
        <w:t>. Diakses tanggal 24 Mei 2018</w:t>
      </w:r>
    </w:p>
    <w:p w:rsidR="003441B6" w:rsidRPr="00754142" w:rsidRDefault="003441B6" w:rsidP="005A08FD">
      <w:pPr>
        <w:ind w:left="720" w:hanging="720"/>
        <w:jc w:val="both"/>
      </w:pPr>
    </w:p>
    <w:sectPr w:rsidR="003441B6" w:rsidRPr="00754142" w:rsidSect="00892FA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FCA"/>
    <w:multiLevelType w:val="hybridMultilevel"/>
    <w:tmpl w:val="68D2B93E"/>
    <w:lvl w:ilvl="0" w:tplc="1F8A4E9C">
      <w:start w:val="3"/>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9132589"/>
    <w:multiLevelType w:val="hybridMultilevel"/>
    <w:tmpl w:val="DE1EB484"/>
    <w:lvl w:ilvl="0" w:tplc="A3D8FF4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BB11230"/>
    <w:multiLevelType w:val="hybridMultilevel"/>
    <w:tmpl w:val="95D6AC4E"/>
    <w:lvl w:ilvl="0" w:tplc="7B8068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5364DDF"/>
    <w:multiLevelType w:val="hybridMultilevel"/>
    <w:tmpl w:val="DC0C308E"/>
    <w:lvl w:ilvl="0" w:tplc="E8EE95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EF9322B"/>
    <w:multiLevelType w:val="hybridMultilevel"/>
    <w:tmpl w:val="D124F220"/>
    <w:lvl w:ilvl="0" w:tplc="43964E0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1041E9D"/>
    <w:multiLevelType w:val="hybridMultilevel"/>
    <w:tmpl w:val="6EF2947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80157"/>
    <w:multiLevelType w:val="hybridMultilevel"/>
    <w:tmpl w:val="F6F2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C5E3A"/>
    <w:multiLevelType w:val="multilevel"/>
    <w:tmpl w:val="7DB6489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603F25DB"/>
    <w:multiLevelType w:val="hybridMultilevel"/>
    <w:tmpl w:val="CDB2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70C6E"/>
    <w:multiLevelType w:val="hybridMultilevel"/>
    <w:tmpl w:val="2D242D14"/>
    <w:lvl w:ilvl="0" w:tplc="B27487FA">
      <w:start w:val="1"/>
      <w:numFmt w:val="decimal"/>
      <w:lvlText w:val="%1."/>
      <w:lvlJc w:val="left"/>
      <w:pPr>
        <w:ind w:left="1800" w:hanging="360"/>
      </w:pPr>
      <w:rPr>
        <w:rFonts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67917896"/>
    <w:multiLevelType w:val="hybridMultilevel"/>
    <w:tmpl w:val="0590C594"/>
    <w:lvl w:ilvl="0" w:tplc="E77C1F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692325EA"/>
    <w:multiLevelType w:val="hybridMultilevel"/>
    <w:tmpl w:val="26F0436E"/>
    <w:lvl w:ilvl="0" w:tplc="339E82A6">
      <w:start w:val="1"/>
      <w:numFmt w:val="decimal"/>
      <w:lvlText w:val="%1."/>
      <w:lvlJc w:val="left"/>
      <w:pPr>
        <w:ind w:left="1170" w:hanging="360"/>
      </w:pPr>
      <w:rPr>
        <w:rFonts w:hint="default"/>
        <w:b/>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2">
    <w:nsid w:val="6A3C60F9"/>
    <w:multiLevelType w:val="hybridMultilevel"/>
    <w:tmpl w:val="D81892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10"/>
  </w:num>
  <w:num w:numId="5">
    <w:abstractNumId w:val="8"/>
  </w:num>
  <w:num w:numId="6">
    <w:abstractNumId w:val="1"/>
  </w:num>
  <w:num w:numId="7">
    <w:abstractNumId w:val="4"/>
  </w:num>
  <w:num w:numId="8">
    <w:abstractNumId w:val="0"/>
  </w:num>
  <w:num w:numId="9">
    <w:abstractNumId w:val="5"/>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3"/>
  </w:num>
  <w:num w:numId="15">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A3"/>
    <w:rsid w:val="00054A94"/>
    <w:rsid w:val="000A7B70"/>
    <w:rsid w:val="000B3803"/>
    <w:rsid w:val="000C4CFB"/>
    <w:rsid w:val="000D335F"/>
    <w:rsid w:val="001030E1"/>
    <w:rsid w:val="001928E9"/>
    <w:rsid w:val="002108E8"/>
    <w:rsid w:val="002F2689"/>
    <w:rsid w:val="003256A8"/>
    <w:rsid w:val="003441B6"/>
    <w:rsid w:val="00353C6D"/>
    <w:rsid w:val="003D2877"/>
    <w:rsid w:val="003F6293"/>
    <w:rsid w:val="00474F3B"/>
    <w:rsid w:val="0049738D"/>
    <w:rsid w:val="004C6E60"/>
    <w:rsid w:val="0052763F"/>
    <w:rsid w:val="00533D0D"/>
    <w:rsid w:val="00536BAF"/>
    <w:rsid w:val="0054438B"/>
    <w:rsid w:val="0054544B"/>
    <w:rsid w:val="00596B5E"/>
    <w:rsid w:val="005A08FD"/>
    <w:rsid w:val="00603B6C"/>
    <w:rsid w:val="00647F7B"/>
    <w:rsid w:val="00676E93"/>
    <w:rsid w:val="006E3DA1"/>
    <w:rsid w:val="0072161C"/>
    <w:rsid w:val="007339A6"/>
    <w:rsid w:val="007429DF"/>
    <w:rsid w:val="00754142"/>
    <w:rsid w:val="0077555D"/>
    <w:rsid w:val="007C1620"/>
    <w:rsid w:val="008144F1"/>
    <w:rsid w:val="00847110"/>
    <w:rsid w:val="0085472E"/>
    <w:rsid w:val="00892FA3"/>
    <w:rsid w:val="008A4600"/>
    <w:rsid w:val="00911418"/>
    <w:rsid w:val="009160BA"/>
    <w:rsid w:val="009216EB"/>
    <w:rsid w:val="009310F0"/>
    <w:rsid w:val="009C776B"/>
    <w:rsid w:val="00A01441"/>
    <w:rsid w:val="00A129DC"/>
    <w:rsid w:val="00A44B2B"/>
    <w:rsid w:val="00A86536"/>
    <w:rsid w:val="00AB1402"/>
    <w:rsid w:val="00AB36BC"/>
    <w:rsid w:val="00B426B2"/>
    <w:rsid w:val="00B7271E"/>
    <w:rsid w:val="00C228AB"/>
    <w:rsid w:val="00C841EB"/>
    <w:rsid w:val="00CA1E63"/>
    <w:rsid w:val="00D02D7A"/>
    <w:rsid w:val="00D449A2"/>
    <w:rsid w:val="00D655D8"/>
    <w:rsid w:val="00DB540C"/>
    <w:rsid w:val="00DD4992"/>
    <w:rsid w:val="00E06608"/>
    <w:rsid w:val="00E17A25"/>
    <w:rsid w:val="00E56E3D"/>
    <w:rsid w:val="00E74348"/>
    <w:rsid w:val="00ED3AA9"/>
    <w:rsid w:val="00F201EF"/>
    <w:rsid w:val="00F61350"/>
    <w:rsid w:val="00FA00EA"/>
    <w:rsid w:val="00FC26A1"/>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FA3"/>
    <w:pPr>
      <w:spacing w:after="0" w:line="240" w:lineRule="auto"/>
    </w:pPr>
  </w:style>
  <w:style w:type="paragraph" w:styleId="ListParagraph">
    <w:name w:val="List Paragraph"/>
    <w:basedOn w:val="Normal"/>
    <w:link w:val="ListParagraphChar"/>
    <w:uiPriority w:val="34"/>
    <w:qFormat/>
    <w:rsid w:val="00F61350"/>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F61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992"/>
    <w:rPr>
      <w:rFonts w:ascii="Tahoma" w:hAnsi="Tahoma" w:cs="Tahoma"/>
      <w:sz w:val="16"/>
      <w:szCs w:val="16"/>
    </w:rPr>
  </w:style>
  <w:style w:type="character" w:customStyle="1" w:styleId="BalloonTextChar">
    <w:name w:val="Balloon Text Char"/>
    <w:basedOn w:val="DefaultParagraphFont"/>
    <w:link w:val="BalloonText"/>
    <w:uiPriority w:val="99"/>
    <w:semiHidden/>
    <w:rsid w:val="00DD4992"/>
    <w:rPr>
      <w:rFonts w:ascii="Tahoma" w:eastAsia="Times New Roman" w:hAnsi="Tahoma" w:cs="Tahoma"/>
      <w:sz w:val="16"/>
      <w:szCs w:val="16"/>
    </w:rPr>
  </w:style>
  <w:style w:type="character" w:styleId="Hyperlink">
    <w:name w:val="Hyperlink"/>
    <w:basedOn w:val="DefaultParagraphFont"/>
    <w:uiPriority w:val="99"/>
    <w:unhideWhenUsed/>
    <w:rsid w:val="00B7271E"/>
    <w:rPr>
      <w:color w:val="0000FF" w:themeColor="hyperlink"/>
      <w:u w:val="single"/>
    </w:rPr>
  </w:style>
  <w:style w:type="character" w:customStyle="1" w:styleId="ListParagraphChar">
    <w:name w:val="List Paragraph Char"/>
    <w:link w:val="ListParagraph"/>
    <w:uiPriority w:val="34"/>
    <w:locked/>
    <w:rsid w:val="00A129DC"/>
    <w:rPr>
      <w:lang w:val="id-ID"/>
    </w:rPr>
  </w:style>
  <w:style w:type="paragraph" w:styleId="Header">
    <w:name w:val="header"/>
    <w:basedOn w:val="Normal"/>
    <w:link w:val="HeaderChar"/>
    <w:uiPriority w:val="99"/>
    <w:unhideWhenUsed/>
    <w:rsid w:val="00DB540C"/>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DB540C"/>
    <w:rPr>
      <w:lang w:val="id-ID"/>
    </w:rPr>
  </w:style>
  <w:style w:type="table" w:styleId="LightShading">
    <w:name w:val="Light Shading"/>
    <w:basedOn w:val="TableNormal"/>
    <w:uiPriority w:val="60"/>
    <w:rsid w:val="00ED3A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449A2"/>
    <w:rPr>
      <w:i/>
      <w:iCs/>
    </w:rPr>
  </w:style>
  <w:style w:type="character" w:styleId="HTMLCite">
    <w:name w:val="HTML Cite"/>
    <w:basedOn w:val="DefaultParagraphFont"/>
    <w:uiPriority w:val="99"/>
    <w:semiHidden/>
    <w:unhideWhenUsed/>
    <w:rsid w:val="00D449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FA3"/>
    <w:pPr>
      <w:spacing w:after="0" w:line="240" w:lineRule="auto"/>
    </w:pPr>
  </w:style>
  <w:style w:type="paragraph" w:styleId="ListParagraph">
    <w:name w:val="List Paragraph"/>
    <w:basedOn w:val="Normal"/>
    <w:link w:val="ListParagraphChar"/>
    <w:uiPriority w:val="34"/>
    <w:qFormat/>
    <w:rsid w:val="00F61350"/>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F61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992"/>
    <w:rPr>
      <w:rFonts w:ascii="Tahoma" w:hAnsi="Tahoma" w:cs="Tahoma"/>
      <w:sz w:val="16"/>
      <w:szCs w:val="16"/>
    </w:rPr>
  </w:style>
  <w:style w:type="character" w:customStyle="1" w:styleId="BalloonTextChar">
    <w:name w:val="Balloon Text Char"/>
    <w:basedOn w:val="DefaultParagraphFont"/>
    <w:link w:val="BalloonText"/>
    <w:uiPriority w:val="99"/>
    <w:semiHidden/>
    <w:rsid w:val="00DD4992"/>
    <w:rPr>
      <w:rFonts w:ascii="Tahoma" w:eastAsia="Times New Roman" w:hAnsi="Tahoma" w:cs="Tahoma"/>
      <w:sz w:val="16"/>
      <w:szCs w:val="16"/>
    </w:rPr>
  </w:style>
  <w:style w:type="character" w:styleId="Hyperlink">
    <w:name w:val="Hyperlink"/>
    <w:basedOn w:val="DefaultParagraphFont"/>
    <w:uiPriority w:val="99"/>
    <w:unhideWhenUsed/>
    <w:rsid w:val="00B7271E"/>
    <w:rPr>
      <w:color w:val="0000FF" w:themeColor="hyperlink"/>
      <w:u w:val="single"/>
    </w:rPr>
  </w:style>
  <w:style w:type="character" w:customStyle="1" w:styleId="ListParagraphChar">
    <w:name w:val="List Paragraph Char"/>
    <w:link w:val="ListParagraph"/>
    <w:uiPriority w:val="34"/>
    <w:locked/>
    <w:rsid w:val="00A129DC"/>
    <w:rPr>
      <w:lang w:val="id-ID"/>
    </w:rPr>
  </w:style>
  <w:style w:type="paragraph" w:styleId="Header">
    <w:name w:val="header"/>
    <w:basedOn w:val="Normal"/>
    <w:link w:val="HeaderChar"/>
    <w:uiPriority w:val="99"/>
    <w:unhideWhenUsed/>
    <w:rsid w:val="00DB540C"/>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DB540C"/>
    <w:rPr>
      <w:lang w:val="id-ID"/>
    </w:rPr>
  </w:style>
  <w:style w:type="table" w:styleId="LightShading">
    <w:name w:val="Light Shading"/>
    <w:basedOn w:val="TableNormal"/>
    <w:uiPriority w:val="60"/>
    <w:rsid w:val="00ED3A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449A2"/>
    <w:rPr>
      <w:i/>
      <w:iCs/>
    </w:rPr>
  </w:style>
  <w:style w:type="character" w:styleId="HTMLCite">
    <w:name w:val="HTML Cite"/>
    <w:basedOn w:val="DefaultParagraphFont"/>
    <w:uiPriority w:val="99"/>
    <w:semiHidden/>
    <w:unhideWhenUsed/>
    <w:rsid w:val="00D449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2820">
      <w:bodyDiv w:val="1"/>
      <w:marLeft w:val="0"/>
      <w:marRight w:val="0"/>
      <w:marTop w:val="0"/>
      <w:marBottom w:val="0"/>
      <w:divBdr>
        <w:top w:val="none" w:sz="0" w:space="0" w:color="auto"/>
        <w:left w:val="none" w:sz="0" w:space="0" w:color="auto"/>
        <w:bottom w:val="none" w:sz="0" w:space="0" w:color="auto"/>
        <w:right w:val="none" w:sz="0" w:space="0" w:color="auto"/>
      </w:divBdr>
    </w:div>
    <w:div w:id="238365429">
      <w:bodyDiv w:val="1"/>
      <w:marLeft w:val="0"/>
      <w:marRight w:val="0"/>
      <w:marTop w:val="0"/>
      <w:marBottom w:val="0"/>
      <w:divBdr>
        <w:top w:val="none" w:sz="0" w:space="0" w:color="auto"/>
        <w:left w:val="none" w:sz="0" w:space="0" w:color="auto"/>
        <w:bottom w:val="none" w:sz="0" w:space="0" w:color="auto"/>
        <w:right w:val="none" w:sz="0" w:space="0" w:color="auto"/>
      </w:divBdr>
    </w:div>
    <w:div w:id="253323972">
      <w:bodyDiv w:val="1"/>
      <w:marLeft w:val="0"/>
      <w:marRight w:val="0"/>
      <w:marTop w:val="0"/>
      <w:marBottom w:val="0"/>
      <w:divBdr>
        <w:top w:val="none" w:sz="0" w:space="0" w:color="auto"/>
        <w:left w:val="none" w:sz="0" w:space="0" w:color="auto"/>
        <w:bottom w:val="none" w:sz="0" w:space="0" w:color="auto"/>
        <w:right w:val="none" w:sz="0" w:space="0" w:color="auto"/>
      </w:divBdr>
    </w:div>
    <w:div w:id="330640756">
      <w:bodyDiv w:val="1"/>
      <w:marLeft w:val="0"/>
      <w:marRight w:val="0"/>
      <w:marTop w:val="0"/>
      <w:marBottom w:val="0"/>
      <w:divBdr>
        <w:top w:val="none" w:sz="0" w:space="0" w:color="auto"/>
        <w:left w:val="none" w:sz="0" w:space="0" w:color="auto"/>
        <w:bottom w:val="none" w:sz="0" w:space="0" w:color="auto"/>
        <w:right w:val="none" w:sz="0" w:space="0" w:color="auto"/>
      </w:divBdr>
    </w:div>
    <w:div w:id="376046574">
      <w:bodyDiv w:val="1"/>
      <w:marLeft w:val="0"/>
      <w:marRight w:val="0"/>
      <w:marTop w:val="0"/>
      <w:marBottom w:val="0"/>
      <w:divBdr>
        <w:top w:val="none" w:sz="0" w:space="0" w:color="auto"/>
        <w:left w:val="none" w:sz="0" w:space="0" w:color="auto"/>
        <w:bottom w:val="none" w:sz="0" w:space="0" w:color="auto"/>
        <w:right w:val="none" w:sz="0" w:space="0" w:color="auto"/>
      </w:divBdr>
    </w:div>
    <w:div w:id="452141977">
      <w:bodyDiv w:val="1"/>
      <w:marLeft w:val="0"/>
      <w:marRight w:val="0"/>
      <w:marTop w:val="0"/>
      <w:marBottom w:val="0"/>
      <w:divBdr>
        <w:top w:val="none" w:sz="0" w:space="0" w:color="auto"/>
        <w:left w:val="none" w:sz="0" w:space="0" w:color="auto"/>
        <w:bottom w:val="none" w:sz="0" w:space="0" w:color="auto"/>
        <w:right w:val="none" w:sz="0" w:space="0" w:color="auto"/>
      </w:divBdr>
    </w:div>
    <w:div w:id="1580867409">
      <w:bodyDiv w:val="1"/>
      <w:marLeft w:val="0"/>
      <w:marRight w:val="0"/>
      <w:marTop w:val="0"/>
      <w:marBottom w:val="0"/>
      <w:divBdr>
        <w:top w:val="none" w:sz="0" w:space="0" w:color="auto"/>
        <w:left w:val="none" w:sz="0" w:space="0" w:color="auto"/>
        <w:bottom w:val="none" w:sz="0" w:space="0" w:color="auto"/>
        <w:right w:val="none" w:sz="0" w:space="0" w:color="auto"/>
      </w:divBdr>
    </w:div>
    <w:div w:id="1740397750">
      <w:bodyDiv w:val="1"/>
      <w:marLeft w:val="0"/>
      <w:marRight w:val="0"/>
      <w:marTop w:val="0"/>
      <w:marBottom w:val="0"/>
      <w:divBdr>
        <w:top w:val="none" w:sz="0" w:space="0" w:color="auto"/>
        <w:left w:val="none" w:sz="0" w:space="0" w:color="auto"/>
        <w:bottom w:val="none" w:sz="0" w:space="0" w:color="auto"/>
        <w:right w:val="none" w:sz="0" w:space="0" w:color="auto"/>
      </w:divBdr>
    </w:div>
    <w:div w:id="1761371135">
      <w:bodyDiv w:val="1"/>
      <w:marLeft w:val="0"/>
      <w:marRight w:val="0"/>
      <w:marTop w:val="0"/>
      <w:marBottom w:val="0"/>
      <w:divBdr>
        <w:top w:val="none" w:sz="0" w:space="0" w:color="auto"/>
        <w:left w:val="none" w:sz="0" w:space="0" w:color="auto"/>
        <w:bottom w:val="none" w:sz="0" w:space="0" w:color="auto"/>
        <w:right w:val="none" w:sz="0" w:space="0" w:color="auto"/>
      </w:divBdr>
    </w:div>
    <w:div w:id="19042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kes.g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41</cp:revision>
  <cp:lastPrinted>2018-09-03T02:20:00Z</cp:lastPrinted>
  <dcterms:created xsi:type="dcterms:W3CDTF">2016-10-10T00:49:00Z</dcterms:created>
  <dcterms:modified xsi:type="dcterms:W3CDTF">2019-05-02T07:10:00Z</dcterms:modified>
</cp:coreProperties>
</file>