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C9" w:rsidRPr="008E71D4" w:rsidRDefault="008A049B" w:rsidP="00FA2DC9">
      <w:pPr>
        <w:tabs>
          <w:tab w:val="left" w:pos="1440"/>
          <w:tab w:val="left" w:pos="1620"/>
        </w:tabs>
        <w:spacing w:line="276" w:lineRule="auto"/>
        <w:jc w:val="center"/>
        <w:rPr>
          <w:b/>
          <w:color w:val="1D1B11" w:themeColor="background2" w:themeShade="1A"/>
          <w:szCs w:val="32"/>
        </w:rPr>
      </w:pPr>
      <w:r w:rsidRPr="008A049B">
        <w:rPr>
          <w:b/>
          <w:noProof/>
          <w:color w:val="1D1B11" w:themeColor="background2" w:themeShade="1A"/>
          <w:szCs w:val="32"/>
        </w:rPr>
        <w:pict>
          <v:rect id="_x0000_s1029" style="position:absolute;left:0;text-align:left;margin-left:364.9pt;margin-top:-59.35pt;width:60.95pt;height:41.15pt;z-index:251661312" strokecolor="white [3212]"/>
        </w:pict>
      </w:r>
      <w:r w:rsidR="0001443C">
        <w:rPr>
          <w:b/>
          <w:noProof/>
          <w:color w:val="1D1B11" w:themeColor="background2" w:themeShade="1A"/>
          <w:szCs w:val="32"/>
        </w:rPr>
        <w:t xml:space="preserve">PENGARUH INOKULASI KAPANG PELARUT FOSFAT </w:t>
      </w:r>
      <w:r w:rsidR="00FA2DC9">
        <w:rPr>
          <w:b/>
          <w:color w:val="1D1B11" w:themeColor="background2" w:themeShade="1A"/>
          <w:szCs w:val="32"/>
        </w:rPr>
        <w:t xml:space="preserve"> </w:t>
      </w:r>
      <w:r w:rsidR="00FA2DC9">
        <w:rPr>
          <w:b/>
          <w:i/>
          <w:color w:val="1D1B11" w:themeColor="background2" w:themeShade="1A"/>
          <w:szCs w:val="32"/>
        </w:rPr>
        <w:t xml:space="preserve">Aspergillus niger </w:t>
      </w:r>
      <w:r w:rsidR="0001443C">
        <w:rPr>
          <w:b/>
          <w:color w:val="1D1B11" w:themeColor="background2" w:themeShade="1A"/>
          <w:szCs w:val="32"/>
        </w:rPr>
        <w:t>dan</w:t>
      </w:r>
      <w:r w:rsidR="00FA2DC9">
        <w:rPr>
          <w:b/>
          <w:color w:val="1D1B11" w:themeColor="background2" w:themeShade="1A"/>
          <w:szCs w:val="32"/>
        </w:rPr>
        <w:t xml:space="preserve"> </w:t>
      </w:r>
      <w:r w:rsidR="00FA2DC9">
        <w:rPr>
          <w:b/>
          <w:i/>
          <w:color w:val="1D1B11" w:themeColor="background2" w:themeShade="1A"/>
          <w:szCs w:val="32"/>
        </w:rPr>
        <w:t xml:space="preserve">Gliocladium virens </w:t>
      </w:r>
      <w:r w:rsidR="0001443C">
        <w:rPr>
          <w:b/>
          <w:color w:val="1D1B11" w:themeColor="background2" w:themeShade="1A"/>
          <w:szCs w:val="32"/>
        </w:rPr>
        <w:t>Terhadap Pertumbuhan TANAMAN JAGUNG PADA GAMBUT</w:t>
      </w:r>
    </w:p>
    <w:p w:rsidR="004654A9" w:rsidRPr="00A04A54" w:rsidRDefault="004654A9" w:rsidP="004654A9">
      <w:pPr>
        <w:spacing w:line="276" w:lineRule="auto"/>
        <w:jc w:val="center"/>
        <w:rPr>
          <w:b/>
          <w:color w:val="1D1B11" w:themeColor="background2" w:themeShade="1A"/>
          <w:sz w:val="22"/>
          <w:szCs w:val="28"/>
        </w:rPr>
      </w:pPr>
    </w:p>
    <w:p w:rsidR="004654A9" w:rsidRPr="00EF1E9F" w:rsidRDefault="004654A9" w:rsidP="004654A9">
      <w:pPr>
        <w:pStyle w:val="Style2"/>
        <w:spacing w:after="0" w:line="240" w:lineRule="auto"/>
        <w:jc w:val="center"/>
        <w:rPr>
          <w:b/>
          <w:vertAlign w:val="superscript"/>
          <w:lang w:val="id-ID"/>
        </w:rPr>
      </w:pPr>
      <w:r w:rsidRPr="00695508">
        <w:rPr>
          <w:b/>
          <w:lang w:val="pt-BR"/>
        </w:rPr>
        <w:t>Fitr</w:t>
      </w:r>
      <w:r>
        <w:rPr>
          <w:b/>
          <w:lang w:val="pt-BR"/>
        </w:rPr>
        <w:t>a Hermawan</w:t>
      </w:r>
      <w:r w:rsidRPr="00A67EDF">
        <w:rPr>
          <w:b/>
          <w:vertAlign w:val="superscript"/>
          <w:lang w:val="id-ID"/>
        </w:rPr>
        <w:t xml:space="preserve"> (</w:t>
      </w:r>
      <w:r w:rsidRPr="00EF1E9F">
        <w:rPr>
          <w:b/>
          <w:vertAlign w:val="superscript"/>
          <w:lang w:val="id-ID"/>
        </w:rPr>
        <w:t>1</w:t>
      </w:r>
      <w:r w:rsidRPr="00EF1E9F">
        <w:rPr>
          <w:b/>
          <w:lang w:val="id-ID"/>
        </w:rPr>
        <w:t>,  Zakiatulyaqin</w:t>
      </w:r>
      <w:r w:rsidRPr="00A67EDF">
        <w:rPr>
          <w:b/>
          <w:vertAlign w:val="superscript"/>
          <w:lang w:val="id-ID"/>
        </w:rPr>
        <w:t>(</w:t>
      </w:r>
      <w:r w:rsidRPr="00EF1E9F">
        <w:rPr>
          <w:b/>
          <w:vertAlign w:val="superscript"/>
          <w:lang w:val="id-ID"/>
        </w:rPr>
        <w:t xml:space="preserve">2 </w:t>
      </w:r>
      <w:r w:rsidRPr="00EF1E9F">
        <w:rPr>
          <w:b/>
          <w:lang w:val="id-ID"/>
        </w:rPr>
        <w:t xml:space="preserve">dan </w:t>
      </w:r>
      <w:r w:rsidRPr="00A04A54">
        <w:rPr>
          <w:b/>
          <w:color w:val="1D1B11" w:themeColor="background2" w:themeShade="1A"/>
        </w:rPr>
        <w:t>Sarbino,</w:t>
      </w:r>
      <w:r w:rsidRPr="00A67EDF">
        <w:rPr>
          <w:b/>
          <w:vertAlign w:val="superscript"/>
          <w:lang w:val="id-ID"/>
        </w:rPr>
        <w:t>(</w:t>
      </w:r>
      <w:r w:rsidRPr="00EF1E9F">
        <w:rPr>
          <w:b/>
          <w:vertAlign w:val="superscript"/>
          <w:lang w:val="id-ID"/>
        </w:rPr>
        <w:t>2</w:t>
      </w:r>
    </w:p>
    <w:p w:rsidR="004654A9" w:rsidRPr="00D63550" w:rsidRDefault="004654A9" w:rsidP="004654A9">
      <w:pPr>
        <w:jc w:val="center"/>
        <w:rPr>
          <w:sz w:val="20"/>
          <w:lang w:val="id-ID"/>
        </w:rPr>
      </w:pPr>
      <w:r w:rsidRPr="00D63550">
        <w:rPr>
          <w:sz w:val="20"/>
          <w:vertAlign w:val="superscript"/>
          <w:lang w:val="id-ID"/>
        </w:rPr>
        <w:t>1</w:t>
      </w:r>
      <w:r>
        <w:rPr>
          <w:sz w:val="20"/>
          <w:vertAlign w:val="superscript"/>
          <w:lang w:val="id-ID"/>
        </w:rPr>
        <w:t>)</w:t>
      </w:r>
      <w:r w:rsidRPr="00D63550">
        <w:rPr>
          <w:sz w:val="20"/>
          <w:lang w:val="id-ID"/>
        </w:rPr>
        <w:t xml:space="preserve"> </w:t>
      </w:r>
      <w:r>
        <w:rPr>
          <w:sz w:val="20"/>
          <w:lang w:val="id-ID"/>
        </w:rPr>
        <w:t>Mahasisw</w:t>
      </w:r>
      <w:r>
        <w:rPr>
          <w:sz w:val="20"/>
        </w:rPr>
        <w:t xml:space="preserve">a </w:t>
      </w:r>
      <w:r w:rsidRPr="00D63550">
        <w:rPr>
          <w:sz w:val="20"/>
          <w:lang w:val="id-ID"/>
        </w:rPr>
        <w:t xml:space="preserve">dan </w:t>
      </w:r>
      <w:r w:rsidRPr="00D63550">
        <w:rPr>
          <w:sz w:val="20"/>
          <w:vertAlign w:val="superscript"/>
          <w:lang w:val="id-ID"/>
        </w:rPr>
        <w:t>2</w:t>
      </w:r>
      <w:r>
        <w:rPr>
          <w:sz w:val="20"/>
          <w:vertAlign w:val="superscript"/>
          <w:lang w:val="id-ID"/>
        </w:rPr>
        <w:t xml:space="preserve">) </w:t>
      </w:r>
      <w:r w:rsidRPr="00D63550">
        <w:rPr>
          <w:sz w:val="20"/>
          <w:lang w:val="id-ID"/>
        </w:rPr>
        <w:t xml:space="preserve">Staf Pengajar </w:t>
      </w:r>
    </w:p>
    <w:p w:rsidR="004654A9" w:rsidRDefault="004654A9" w:rsidP="004654A9">
      <w:pPr>
        <w:pStyle w:val="Style2"/>
        <w:spacing w:after="0" w:line="240" w:lineRule="auto"/>
        <w:jc w:val="center"/>
        <w:rPr>
          <w:rFonts w:cs="Times New Roman"/>
          <w:sz w:val="20"/>
        </w:rPr>
      </w:pPr>
      <w:r w:rsidRPr="00D63550">
        <w:rPr>
          <w:rFonts w:cs="Times New Roman"/>
          <w:sz w:val="20"/>
          <w:lang w:val="id-ID"/>
        </w:rPr>
        <w:t xml:space="preserve">Bidang </w:t>
      </w:r>
      <w:r>
        <w:rPr>
          <w:rFonts w:cs="Times New Roman"/>
          <w:sz w:val="20"/>
        </w:rPr>
        <w:t>Budidaya Pertanian</w:t>
      </w:r>
      <w:r w:rsidRPr="00D63550">
        <w:rPr>
          <w:rFonts w:cs="Times New Roman"/>
          <w:sz w:val="20"/>
          <w:lang w:val="id-ID"/>
        </w:rPr>
        <w:t xml:space="preserve"> Program Studi Agronomi Fakultas Pertanian Universitas Tanjungpura</w:t>
      </w:r>
    </w:p>
    <w:p w:rsidR="009211F4" w:rsidRPr="000C34D3" w:rsidRDefault="009211F4" w:rsidP="0001443C">
      <w:pPr>
        <w:spacing w:line="360" w:lineRule="auto"/>
        <w:rPr>
          <w:b/>
          <w:lang w:val="pt-BR"/>
        </w:rPr>
      </w:pPr>
    </w:p>
    <w:p w:rsidR="00AC4285" w:rsidRDefault="00AC4285"/>
    <w:p w:rsidR="009211F4" w:rsidRDefault="009211F4" w:rsidP="009211F4">
      <w:pPr>
        <w:spacing w:line="276" w:lineRule="auto"/>
        <w:jc w:val="center"/>
        <w:rPr>
          <w:b/>
          <w:bCs/>
          <w:lang w:val="pt-BR"/>
        </w:rPr>
      </w:pPr>
      <w:r>
        <w:rPr>
          <w:b/>
          <w:bCs/>
          <w:lang w:val="pt-BR"/>
        </w:rPr>
        <w:t>ABSTRAK</w:t>
      </w:r>
    </w:p>
    <w:p w:rsidR="009211F4" w:rsidRDefault="009211F4" w:rsidP="009211F4">
      <w:pPr>
        <w:jc w:val="both"/>
        <w:rPr>
          <w:b/>
          <w:bCs/>
          <w:lang w:val="id-ID"/>
        </w:rPr>
      </w:pPr>
    </w:p>
    <w:p w:rsidR="009211F4" w:rsidRDefault="009211F4" w:rsidP="009211F4">
      <w:pPr>
        <w:jc w:val="both"/>
      </w:pPr>
      <w:r>
        <w:rPr>
          <w:lang w:val="pt-BR"/>
        </w:rPr>
        <w:t xml:space="preserve">Penelitian ini bertujuan untuk mengetahui pertumbuhan tanaman jagung yang diberikan perlakuan kapang pelarut fosfat </w:t>
      </w:r>
      <w:r>
        <w:rPr>
          <w:i/>
        </w:rPr>
        <w:t xml:space="preserve">Aspergillus niger </w:t>
      </w:r>
      <w:r>
        <w:t xml:space="preserve">dan </w:t>
      </w:r>
      <w:r>
        <w:rPr>
          <w:i/>
        </w:rPr>
        <w:t>Gliocladium virens</w:t>
      </w:r>
      <w:r>
        <w:t xml:space="preserve"> pada gambut.</w:t>
      </w:r>
      <w:r>
        <w:rPr>
          <w:lang w:val="id-ID"/>
        </w:rPr>
        <w:t xml:space="preserve"> </w:t>
      </w:r>
      <w:r>
        <w:rPr>
          <w:lang w:val="pt-BR"/>
        </w:rPr>
        <w:t xml:space="preserve">Penelitian menggunakan </w:t>
      </w:r>
      <w:r w:rsidRPr="00DB0AE0">
        <w:t xml:space="preserve">Rancangan Acak </w:t>
      </w:r>
      <w:r>
        <w:t>Lengkap</w:t>
      </w:r>
      <w:r w:rsidRPr="00DB0AE0">
        <w:t xml:space="preserve"> Faktorial (</w:t>
      </w:r>
      <w:r>
        <w:t xml:space="preserve">RAL) yang terdiri dari 2 faktor, faktor pertama </w:t>
      </w:r>
      <w:r>
        <w:rPr>
          <w:i/>
        </w:rPr>
        <w:t xml:space="preserve">A. niger </w:t>
      </w:r>
      <w:r w:rsidR="00D20801">
        <w:t xml:space="preserve">dengan 4 taraf perlakuan </w:t>
      </w:r>
      <w:r>
        <w:t>a</w:t>
      </w:r>
      <w:r w:rsidRPr="005E1E6F">
        <w:rPr>
          <w:vertAlign w:val="subscript"/>
        </w:rPr>
        <w:t>1</w:t>
      </w:r>
      <w:r>
        <w:t>(10</w:t>
      </w:r>
      <w:r w:rsidRPr="00AA0D30">
        <w:t xml:space="preserve"> </w:t>
      </w:r>
      <w:r>
        <w:t>ml), a</w:t>
      </w:r>
      <w:r w:rsidRPr="005E1E6F">
        <w:rPr>
          <w:vertAlign w:val="subscript"/>
        </w:rPr>
        <w:t>2</w:t>
      </w:r>
      <w:r>
        <w:t>(15</w:t>
      </w:r>
      <w:r w:rsidRPr="00AA0D30">
        <w:t xml:space="preserve"> </w:t>
      </w:r>
      <w:r>
        <w:t>ml), a</w:t>
      </w:r>
      <w:r w:rsidRPr="005E1E6F">
        <w:rPr>
          <w:vertAlign w:val="subscript"/>
        </w:rPr>
        <w:t>3</w:t>
      </w:r>
      <w:r>
        <w:t>(20</w:t>
      </w:r>
      <w:r w:rsidRPr="00AA0D30">
        <w:t xml:space="preserve"> </w:t>
      </w:r>
      <w:r>
        <w:t>ml), a</w:t>
      </w:r>
      <w:r w:rsidRPr="005E1E6F">
        <w:rPr>
          <w:vertAlign w:val="subscript"/>
        </w:rPr>
        <w:t>4</w:t>
      </w:r>
      <w:r>
        <w:t xml:space="preserve">(25 ml) dan faktor kedua </w:t>
      </w:r>
      <w:r>
        <w:rPr>
          <w:i/>
        </w:rPr>
        <w:t>G. virens</w:t>
      </w:r>
      <w:r>
        <w:t xml:space="preserve"> dengan </w:t>
      </w:r>
      <w:r w:rsidR="00D20801">
        <w:t>4</w:t>
      </w:r>
      <w:r>
        <w:t xml:space="preserve"> taraf perlakuan g</w:t>
      </w:r>
      <w:r w:rsidRPr="005E1E6F">
        <w:rPr>
          <w:vertAlign w:val="subscript"/>
        </w:rPr>
        <w:t>1</w:t>
      </w:r>
      <w:r>
        <w:t>(10</w:t>
      </w:r>
      <w:r w:rsidRPr="00AA0D30">
        <w:t xml:space="preserve"> </w:t>
      </w:r>
      <w:r>
        <w:t>ml), g</w:t>
      </w:r>
      <w:r w:rsidRPr="005E1E6F">
        <w:rPr>
          <w:vertAlign w:val="subscript"/>
        </w:rPr>
        <w:t>2</w:t>
      </w:r>
      <w:r>
        <w:t>(15</w:t>
      </w:r>
      <w:r w:rsidRPr="00AA0D30">
        <w:t xml:space="preserve"> </w:t>
      </w:r>
      <w:r>
        <w:t>ml), g</w:t>
      </w:r>
      <w:r w:rsidRPr="005E1E6F">
        <w:rPr>
          <w:vertAlign w:val="subscript"/>
        </w:rPr>
        <w:t>3</w:t>
      </w:r>
      <w:r>
        <w:t>(20</w:t>
      </w:r>
      <w:r w:rsidRPr="00AA0D30">
        <w:t xml:space="preserve"> </w:t>
      </w:r>
      <w:r>
        <w:t>ml), dan g</w:t>
      </w:r>
      <w:r w:rsidRPr="005E1E6F">
        <w:rPr>
          <w:vertAlign w:val="subscript"/>
        </w:rPr>
        <w:t>4</w:t>
      </w:r>
      <w:r>
        <w:t>(25</w:t>
      </w:r>
      <w:r w:rsidRPr="00AA0D30">
        <w:t xml:space="preserve"> </w:t>
      </w:r>
      <w:r>
        <w:t xml:space="preserve">ml).  </w:t>
      </w:r>
      <w:r>
        <w:rPr>
          <w:lang w:val="pt-BR"/>
        </w:rPr>
        <w:t xml:space="preserve">Variabel pengamatan meliputi </w:t>
      </w:r>
      <w:r w:rsidR="00061D0D">
        <w:rPr>
          <w:lang w:val="pt-BR"/>
        </w:rPr>
        <w:t xml:space="preserve">perhitungan kerapatan konidia </w:t>
      </w:r>
      <w:r w:rsidR="00061D0D">
        <w:rPr>
          <w:i/>
          <w:lang w:val="pt-BR"/>
        </w:rPr>
        <w:t xml:space="preserve">A. niger </w:t>
      </w:r>
      <w:r w:rsidR="00061D0D">
        <w:rPr>
          <w:lang w:val="pt-BR"/>
        </w:rPr>
        <w:t xml:space="preserve">dan </w:t>
      </w:r>
      <w:r w:rsidR="00061D0D">
        <w:rPr>
          <w:i/>
          <w:lang w:val="pt-BR"/>
        </w:rPr>
        <w:t>G. virens</w:t>
      </w:r>
      <w:r w:rsidR="00061D0D">
        <w:rPr>
          <w:lang w:val="pt-BR"/>
        </w:rPr>
        <w:t xml:space="preserve">, </w:t>
      </w:r>
      <w:r>
        <w:rPr>
          <w:lang w:val="pt-BR"/>
        </w:rPr>
        <w:t>tinggi tanaman (cm), volume akar (cm</w:t>
      </w:r>
      <w:r w:rsidRPr="00573FEC">
        <w:rPr>
          <w:vertAlign w:val="superscript"/>
          <w:lang w:val="pt-BR"/>
        </w:rPr>
        <w:t>3</w:t>
      </w:r>
      <w:r>
        <w:rPr>
          <w:lang w:val="pt-BR"/>
        </w:rPr>
        <w:t>), bobot kering tanaman (g), dan serapan P tanaman</w:t>
      </w:r>
      <w:r>
        <w:rPr>
          <w:lang w:val="id-ID"/>
        </w:rPr>
        <w:t xml:space="preserve">. </w:t>
      </w:r>
      <w:r>
        <w:rPr>
          <w:lang w:val="pt-BR"/>
        </w:rPr>
        <w:t xml:space="preserve">Hasil penelitian </w:t>
      </w:r>
      <w:r>
        <w:t xml:space="preserve">menunjukkan bahwa </w:t>
      </w:r>
      <w:r w:rsidR="00982CBF">
        <w:t xml:space="preserve">jumlah kerapatan konidia </w:t>
      </w:r>
      <w:r w:rsidR="00982CBF">
        <w:rPr>
          <w:i/>
        </w:rPr>
        <w:t>A. niger</w:t>
      </w:r>
      <w:r w:rsidR="00982CBF">
        <w:t xml:space="preserve"> </w:t>
      </w:r>
      <w:r w:rsidR="00D20801">
        <w:t>0,</w:t>
      </w:r>
      <w:r w:rsidR="00982CBF">
        <w:rPr>
          <w:lang w:val="pt-BR"/>
        </w:rPr>
        <w:t xml:space="preserve">79 x </w:t>
      </w:r>
      <w:r w:rsidR="00982CBF" w:rsidRPr="002A17B9">
        <w:rPr>
          <w:lang w:val="pt-BR"/>
        </w:rPr>
        <w:t>10</w:t>
      </w:r>
      <w:r w:rsidR="00945199">
        <w:rPr>
          <w:vertAlign w:val="superscript"/>
          <w:lang w:val="id-ID"/>
        </w:rPr>
        <w:t>1</w:t>
      </w:r>
      <w:r w:rsidR="00D20801">
        <w:rPr>
          <w:vertAlign w:val="superscript"/>
        </w:rPr>
        <w:t>1</w:t>
      </w:r>
      <w:r w:rsidR="00982CBF">
        <w:rPr>
          <w:vertAlign w:val="superscript"/>
          <w:lang w:val="pt-BR"/>
        </w:rPr>
        <w:t xml:space="preserve"> </w:t>
      </w:r>
      <w:r w:rsidR="00982CBF">
        <w:rPr>
          <w:lang w:val="pt-BR"/>
        </w:rPr>
        <w:t xml:space="preserve">dan </w:t>
      </w:r>
      <w:r w:rsidR="00982CBF">
        <w:rPr>
          <w:i/>
          <w:lang w:val="pt-BR"/>
        </w:rPr>
        <w:t>G. virens</w:t>
      </w:r>
      <w:r w:rsidR="00982CBF">
        <w:t xml:space="preserve"> </w:t>
      </w:r>
      <w:r w:rsidR="00D20801">
        <w:t>0,08</w:t>
      </w:r>
      <w:r w:rsidR="00982CBF">
        <w:rPr>
          <w:lang w:val="pt-BR"/>
        </w:rPr>
        <w:t xml:space="preserve">2 x </w:t>
      </w:r>
      <w:r w:rsidR="00982CBF" w:rsidRPr="00982CBF">
        <w:rPr>
          <w:lang w:val="pt-BR"/>
        </w:rPr>
        <w:t>10</w:t>
      </w:r>
      <w:r w:rsidR="00945199">
        <w:rPr>
          <w:vertAlign w:val="superscript"/>
          <w:lang w:val="id-ID"/>
        </w:rPr>
        <w:t>1</w:t>
      </w:r>
      <w:r w:rsidR="00D20801">
        <w:rPr>
          <w:vertAlign w:val="superscript"/>
        </w:rPr>
        <w:t>1</w:t>
      </w:r>
      <w:r w:rsidR="00982CBF">
        <w:rPr>
          <w:lang w:val="pt-BR"/>
        </w:rPr>
        <w:t xml:space="preserve">, </w:t>
      </w:r>
      <w:r w:rsidRPr="00982CBF">
        <w:t>pemberian</w:t>
      </w:r>
      <w:r>
        <w:t xml:space="preserve"> </w:t>
      </w:r>
      <w:r>
        <w:rPr>
          <w:i/>
        </w:rPr>
        <w:t xml:space="preserve">A. niger </w:t>
      </w:r>
      <w:r>
        <w:t xml:space="preserve">dengan kandungan 25 ml isolat tanpa pemberian </w:t>
      </w:r>
      <w:r>
        <w:rPr>
          <w:i/>
        </w:rPr>
        <w:t>G. virens</w:t>
      </w:r>
      <w:r>
        <w:t xml:space="preserve"> memberikan hasil yang baik terhadap volume akar, bobot kering tanaman, dan serapan P tanaman. </w:t>
      </w:r>
    </w:p>
    <w:p w:rsidR="009211F4" w:rsidRPr="006D3B8C" w:rsidRDefault="009211F4" w:rsidP="009211F4">
      <w:pPr>
        <w:ind w:firstLine="720"/>
        <w:jc w:val="both"/>
        <w:rPr>
          <w:lang w:val="pt-BR"/>
        </w:rPr>
      </w:pPr>
    </w:p>
    <w:p w:rsidR="009211F4" w:rsidRDefault="009211F4" w:rsidP="009211F4">
      <w:pPr>
        <w:spacing w:line="360" w:lineRule="auto"/>
        <w:ind w:left="1260" w:hanging="1260"/>
        <w:rPr>
          <w:b/>
          <w:lang w:val="pt-BR"/>
        </w:rPr>
      </w:pPr>
      <w:r w:rsidRPr="000C34D3">
        <w:rPr>
          <w:b/>
          <w:lang w:val="pt-BR"/>
        </w:rPr>
        <w:t xml:space="preserve">Kata Kunci : </w:t>
      </w:r>
      <w:r w:rsidRPr="000C34D3">
        <w:rPr>
          <w:b/>
          <w:i/>
          <w:lang w:val="pt-BR"/>
        </w:rPr>
        <w:t xml:space="preserve">Aspergillus niger, </w:t>
      </w:r>
      <w:r w:rsidRPr="000C34D3">
        <w:rPr>
          <w:b/>
          <w:lang w:val="pt-BR"/>
        </w:rPr>
        <w:t>Gambut</w:t>
      </w:r>
      <w:r>
        <w:rPr>
          <w:b/>
          <w:i/>
          <w:lang w:val="id-ID"/>
        </w:rPr>
        <w:t xml:space="preserve">, </w:t>
      </w:r>
      <w:r w:rsidRPr="000C34D3">
        <w:rPr>
          <w:b/>
          <w:i/>
          <w:lang w:val="pt-BR"/>
        </w:rPr>
        <w:t>Gliocladium virens,</w:t>
      </w:r>
      <w:r>
        <w:rPr>
          <w:b/>
          <w:i/>
          <w:lang w:val="id-ID"/>
        </w:rPr>
        <w:t xml:space="preserve"> </w:t>
      </w:r>
      <w:r w:rsidRPr="000C34D3">
        <w:rPr>
          <w:b/>
          <w:lang w:val="pt-BR"/>
        </w:rPr>
        <w:t>Jagung</w:t>
      </w:r>
      <w:r>
        <w:rPr>
          <w:b/>
          <w:lang w:val="pt-BR"/>
        </w:rPr>
        <w:t>.</w:t>
      </w:r>
    </w:p>
    <w:p w:rsidR="0001443C" w:rsidRDefault="0001443C" w:rsidP="0001443C">
      <w:pPr>
        <w:spacing w:line="360" w:lineRule="auto"/>
        <w:rPr>
          <w:b/>
          <w:lang w:val="pt-BR"/>
        </w:rPr>
      </w:pPr>
    </w:p>
    <w:p w:rsidR="0001443C" w:rsidRDefault="0001443C" w:rsidP="0001443C">
      <w:pPr>
        <w:spacing w:line="360" w:lineRule="auto"/>
        <w:rPr>
          <w:b/>
          <w:lang w:val="pt-BR"/>
        </w:rPr>
      </w:pPr>
    </w:p>
    <w:p w:rsidR="0001443C" w:rsidRPr="009211F4" w:rsidRDefault="0001443C" w:rsidP="0001443C">
      <w:pPr>
        <w:spacing w:line="276" w:lineRule="auto"/>
        <w:jc w:val="center"/>
        <w:rPr>
          <w:b/>
          <w:bCs/>
          <w:i/>
          <w:lang w:val="pt-BR"/>
        </w:rPr>
      </w:pPr>
      <w:r w:rsidRPr="009211F4">
        <w:rPr>
          <w:b/>
          <w:bCs/>
          <w:i/>
          <w:lang w:val="pt-BR"/>
        </w:rPr>
        <w:t>ABSTRACT</w:t>
      </w:r>
    </w:p>
    <w:p w:rsidR="0001443C" w:rsidRDefault="0001443C" w:rsidP="0001443C">
      <w:pPr>
        <w:jc w:val="both"/>
        <w:rPr>
          <w:b/>
          <w:bCs/>
          <w:lang w:val="id-ID"/>
        </w:rPr>
      </w:pPr>
    </w:p>
    <w:p w:rsidR="0001443C" w:rsidRDefault="0001443C" w:rsidP="0001443C">
      <w:pPr>
        <w:jc w:val="both"/>
      </w:pPr>
      <w:r>
        <w:rPr>
          <w:lang w:val="pt-BR"/>
        </w:rPr>
        <w:t xml:space="preserve">This study aims to determine the plant growth that is given treatment </w:t>
      </w:r>
      <w:r>
        <w:rPr>
          <w:i/>
          <w:lang w:val="pt-BR"/>
        </w:rPr>
        <w:t xml:space="preserve">A. niger </w:t>
      </w:r>
      <w:r>
        <w:rPr>
          <w:lang w:val="pt-BR"/>
        </w:rPr>
        <w:t xml:space="preserve">and </w:t>
      </w:r>
      <w:r>
        <w:rPr>
          <w:i/>
          <w:lang w:val="pt-BR"/>
        </w:rPr>
        <w:t xml:space="preserve">G. virens </w:t>
      </w:r>
      <w:r>
        <w:rPr>
          <w:lang w:val="pt-BR"/>
        </w:rPr>
        <w:t xml:space="preserve"> on peat soil. Research using by Completely Randomized Design (RAL) consist of two factors, the first factor </w:t>
      </w:r>
      <w:r>
        <w:rPr>
          <w:i/>
          <w:lang w:val="pt-BR"/>
        </w:rPr>
        <w:t xml:space="preserve">A. niger </w:t>
      </w:r>
      <w:r>
        <w:rPr>
          <w:lang w:val="pt-BR"/>
        </w:rPr>
        <w:t xml:space="preserve">is </w:t>
      </w:r>
      <w:r>
        <w:t>a</w:t>
      </w:r>
      <w:r w:rsidRPr="005E1E6F">
        <w:rPr>
          <w:vertAlign w:val="subscript"/>
        </w:rPr>
        <w:t>1</w:t>
      </w:r>
      <w:r>
        <w:t>(10</w:t>
      </w:r>
      <w:r w:rsidRPr="00AA0D30">
        <w:t xml:space="preserve"> </w:t>
      </w:r>
      <w:r>
        <w:t>ml), a</w:t>
      </w:r>
      <w:r w:rsidRPr="005E1E6F">
        <w:rPr>
          <w:vertAlign w:val="subscript"/>
        </w:rPr>
        <w:t>2</w:t>
      </w:r>
      <w:r>
        <w:t>(15</w:t>
      </w:r>
      <w:r w:rsidRPr="00AA0D30">
        <w:t xml:space="preserve"> </w:t>
      </w:r>
      <w:r>
        <w:t>ml), a</w:t>
      </w:r>
      <w:r w:rsidRPr="005E1E6F">
        <w:rPr>
          <w:vertAlign w:val="subscript"/>
        </w:rPr>
        <w:t>3</w:t>
      </w:r>
      <w:r>
        <w:t>(20</w:t>
      </w:r>
      <w:r w:rsidRPr="00AA0D30">
        <w:t xml:space="preserve"> </w:t>
      </w:r>
      <w:r>
        <w:t>ml), a</w:t>
      </w:r>
      <w:r w:rsidRPr="005E1E6F">
        <w:rPr>
          <w:vertAlign w:val="subscript"/>
        </w:rPr>
        <w:t>4</w:t>
      </w:r>
      <w:r>
        <w:t xml:space="preserve">(25 ml), and the second is </w:t>
      </w:r>
      <w:r>
        <w:rPr>
          <w:i/>
        </w:rPr>
        <w:t xml:space="preserve">G. virens </w:t>
      </w:r>
      <w:r>
        <w:t>g</w:t>
      </w:r>
      <w:r w:rsidRPr="005E1E6F">
        <w:rPr>
          <w:vertAlign w:val="subscript"/>
        </w:rPr>
        <w:t>1</w:t>
      </w:r>
      <w:r>
        <w:t>(10</w:t>
      </w:r>
      <w:r w:rsidRPr="00AA0D30">
        <w:t xml:space="preserve"> </w:t>
      </w:r>
      <w:r>
        <w:t>ml), g</w:t>
      </w:r>
      <w:r w:rsidRPr="005E1E6F">
        <w:rPr>
          <w:vertAlign w:val="subscript"/>
        </w:rPr>
        <w:t>2</w:t>
      </w:r>
      <w:r>
        <w:t>(15</w:t>
      </w:r>
      <w:r w:rsidRPr="00AA0D30">
        <w:t xml:space="preserve"> </w:t>
      </w:r>
      <w:r>
        <w:t>ml), g</w:t>
      </w:r>
      <w:r w:rsidRPr="005E1E6F">
        <w:rPr>
          <w:vertAlign w:val="subscript"/>
        </w:rPr>
        <w:t>3</w:t>
      </w:r>
      <w:r>
        <w:t>(20</w:t>
      </w:r>
      <w:r w:rsidRPr="00AA0D30">
        <w:t xml:space="preserve"> </w:t>
      </w:r>
      <w:r>
        <w:t>ml), and g</w:t>
      </w:r>
      <w:r w:rsidRPr="005E1E6F">
        <w:rPr>
          <w:vertAlign w:val="subscript"/>
        </w:rPr>
        <w:t>4</w:t>
      </w:r>
      <w:r>
        <w:t>(25</w:t>
      </w:r>
      <w:r w:rsidRPr="00AA0D30">
        <w:t xml:space="preserve"> </w:t>
      </w:r>
      <w:r>
        <w:t xml:space="preserve">ml). Each contain four stage treatment. Observations variable </w:t>
      </w:r>
      <w:r>
        <w:rPr>
          <w:lang w:val="id-ID"/>
        </w:rPr>
        <w:t xml:space="preserve">are </w:t>
      </w:r>
      <w:r>
        <w:t>calculation conidia density, plant height (cm), root volume (cm</w:t>
      </w:r>
      <w:r>
        <w:rPr>
          <w:rFonts w:ascii="Calibri" w:hAnsi="Calibri"/>
        </w:rPr>
        <w:t>³</w:t>
      </w:r>
      <w:r>
        <w:t xml:space="preserve">), dry weight of plant (g), and P plants absorb. The results showed that conidia density </w:t>
      </w:r>
      <w:r>
        <w:rPr>
          <w:i/>
          <w:lang w:val="pt-BR"/>
        </w:rPr>
        <w:t xml:space="preserve">A. niger </w:t>
      </w:r>
      <w:r w:rsidRPr="002A17B9">
        <w:rPr>
          <w:lang w:val="pt-BR"/>
        </w:rPr>
        <w:t xml:space="preserve">is </w:t>
      </w:r>
      <w:r>
        <w:rPr>
          <w:lang w:val="pt-BR"/>
        </w:rPr>
        <w:t xml:space="preserve">0,79 x </w:t>
      </w:r>
      <w:r w:rsidRPr="002A17B9">
        <w:rPr>
          <w:lang w:val="pt-BR"/>
        </w:rPr>
        <w:t>10</w:t>
      </w:r>
      <w:r>
        <w:rPr>
          <w:vertAlign w:val="superscript"/>
          <w:lang w:val="id-ID"/>
        </w:rPr>
        <w:t>1</w:t>
      </w:r>
      <w:r>
        <w:rPr>
          <w:vertAlign w:val="superscript"/>
        </w:rPr>
        <w:t>1</w:t>
      </w:r>
      <w:r>
        <w:rPr>
          <w:vertAlign w:val="superscript"/>
          <w:lang w:val="pt-BR"/>
        </w:rPr>
        <w:t xml:space="preserve"> </w:t>
      </w:r>
      <w:r w:rsidRPr="002A17B9">
        <w:rPr>
          <w:lang w:val="pt-BR"/>
        </w:rPr>
        <w:t xml:space="preserve">and </w:t>
      </w:r>
      <w:r>
        <w:rPr>
          <w:i/>
          <w:lang w:val="pt-BR"/>
        </w:rPr>
        <w:t xml:space="preserve">G. virens </w:t>
      </w:r>
      <w:r>
        <w:rPr>
          <w:lang w:val="pt-BR"/>
        </w:rPr>
        <w:t xml:space="preserve"> 0,082 x </w:t>
      </w:r>
      <w:r w:rsidRPr="00982CBF">
        <w:rPr>
          <w:lang w:val="pt-BR"/>
        </w:rPr>
        <w:t>10</w:t>
      </w:r>
      <w:r>
        <w:rPr>
          <w:vertAlign w:val="superscript"/>
          <w:lang w:val="id-ID"/>
        </w:rPr>
        <w:t>1</w:t>
      </w:r>
      <w:r>
        <w:rPr>
          <w:vertAlign w:val="superscript"/>
        </w:rPr>
        <w:t>1</w:t>
      </w:r>
      <w:r>
        <w:rPr>
          <w:lang w:val="pt-BR"/>
        </w:rPr>
        <w:t>,</w:t>
      </w:r>
      <w:r>
        <w:rPr>
          <w:vertAlign w:val="superscript"/>
          <w:lang w:val="pt-BR"/>
        </w:rPr>
        <w:t xml:space="preserve"> </w:t>
      </w:r>
      <w:r w:rsidRPr="002A17B9">
        <w:t>administration</w:t>
      </w:r>
      <w:r>
        <w:t xml:space="preserve"> of 25 ml </w:t>
      </w:r>
      <w:r>
        <w:rPr>
          <w:i/>
        </w:rPr>
        <w:t xml:space="preserve">A. niger </w:t>
      </w:r>
      <w:r>
        <w:t xml:space="preserve">the content of isolates without giving </w:t>
      </w:r>
      <w:r>
        <w:rPr>
          <w:i/>
        </w:rPr>
        <w:t xml:space="preserve">G. virens </w:t>
      </w:r>
      <w:r>
        <w:t>give good results on the root volume, dry weight of plants, and P plants absorb.</w:t>
      </w:r>
    </w:p>
    <w:p w:rsidR="0001443C" w:rsidRDefault="0001443C" w:rsidP="0001443C">
      <w:pPr>
        <w:jc w:val="both"/>
      </w:pPr>
    </w:p>
    <w:p w:rsidR="0001443C" w:rsidRPr="009D1F2C" w:rsidRDefault="0001443C" w:rsidP="0001443C">
      <w:pPr>
        <w:jc w:val="both"/>
        <w:rPr>
          <w:lang w:val="pt-BR"/>
        </w:rPr>
      </w:pPr>
    </w:p>
    <w:p w:rsidR="0001443C" w:rsidRDefault="0001443C" w:rsidP="0001443C">
      <w:pPr>
        <w:spacing w:line="360" w:lineRule="auto"/>
        <w:ind w:left="1260" w:hanging="1260"/>
        <w:rPr>
          <w:b/>
          <w:lang w:val="pt-BR"/>
        </w:rPr>
      </w:pPr>
      <w:r>
        <w:rPr>
          <w:b/>
          <w:lang w:val="pt-BR"/>
        </w:rPr>
        <w:t>Keywords</w:t>
      </w:r>
      <w:r w:rsidRPr="000C34D3">
        <w:rPr>
          <w:b/>
          <w:lang w:val="pt-BR"/>
        </w:rPr>
        <w:t xml:space="preserve"> : </w:t>
      </w:r>
      <w:r w:rsidRPr="000C34D3">
        <w:rPr>
          <w:b/>
          <w:i/>
          <w:lang w:val="pt-BR"/>
        </w:rPr>
        <w:t xml:space="preserve">Aspergillus niger, </w:t>
      </w:r>
      <w:r>
        <w:rPr>
          <w:b/>
          <w:lang w:val="pt-BR"/>
        </w:rPr>
        <w:t>Corn</w:t>
      </w:r>
      <w:r>
        <w:rPr>
          <w:b/>
          <w:i/>
          <w:lang w:val="id-ID"/>
        </w:rPr>
        <w:t xml:space="preserve">, </w:t>
      </w:r>
      <w:r w:rsidRPr="000C34D3">
        <w:rPr>
          <w:b/>
          <w:i/>
          <w:lang w:val="pt-BR"/>
        </w:rPr>
        <w:t>Gliocladium virens,</w:t>
      </w:r>
      <w:r>
        <w:rPr>
          <w:b/>
          <w:i/>
          <w:lang w:val="id-ID"/>
        </w:rPr>
        <w:t xml:space="preserve"> </w:t>
      </w:r>
      <w:r>
        <w:rPr>
          <w:b/>
          <w:lang w:val="pt-BR"/>
        </w:rPr>
        <w:t>Peat.</w:t>
      </w:r>
    </w:p>
    <w:p w:rsidR="0001443C" w:rsidRDefault="0001443C" w:rsidP="0001443C">
      <w:pPr>
        <w:spacing w:line="360" w:lineRule="auto"/>
        <w:ind w:left="1260" w:hanging="1260"/>
        <w:rPr>
          <w:b/>
          <w:lang w:val="pt-BR"/>
        </w:rPr>
      </w:pPr>
    </w:p>
    <w:p w:rsidR="009211F4" w:rsidRPr="0001443C" w:rsidRDefault="008A049B" w:rsidP="0001443C">
      <w:pPr>
        <w:spacing w:line="360" w:lineRule="auto"/>
        <w:ind w:left="1260" w:hanging="1260"/>
        <w:rPr>
          <w:b/>
          <w:lang w:val="pt-BR"/>
        </w:rPr>
      </w:pPr>
      <w:r w:rsidRPr="008A049B">
        <w:rPr>
          <w:noProof/>
        </w:rPr>
        <w:pict>
          <v:shapetype id="_x0000_t202" coordsize="21600,21600" o:spt="202" path="m,l,21600r21600,l21600,xe">
            <v:stroke joinstyle="miter"/>
            <v:path gradientshapeok="t" o:connecttype="rect"/>
          </v:shapetype>
          <v:shape id="_x0000_s1030" type="#_x0000_t202" style="position:absolute;left:0;text-align:left;margin-left:172.55pt;margin-top:13.8pt;width:41.9pt;height:26.45pt;z-index:251662336" strokecolor="white [3212]">
            <v:textbox>
              <w:txbxContent>
                <w:p w:rsidR="00222E42" w:rsidRDefault="00222E42" w:rsidP="009003B9">
                  <w:pPr>
                    <w:jc w:val="center"/>
                  </w:pPr>
                  <w:r>
                    <w:t>1</w:t>
                  </w:r>
                </w:p>
              </w:txbxContent>
            </v:textbox>
          </v:shape>
        </w:pict>
      </w:r>
    </w:p>
    <w:p w:rsidR="00393A67" w:rsidRPr="00D3367E" w:rsidRDefault="00393A67" w:rsidP="00D3367E">
      <w:pPr>
        <w:tabs>
          <w:tab w:val="left" w:pos="3420"/>
        </w:tabs>
        <w:spacing w:line="480" w:lineRule="auto"/>
        <w:ind w:left="360"/>
        <w:jc w:val="center"/>
        <w:rPr>
          <w:b/>
          <w:caps/>
          <w:lang w:val="sv-SE"/>
        </w:rPr>
      </w:pPr>
      <w:r w:rsidRPr="00E31DAF">
        <w:rPr>
          <w:b/>
          <w:caps/>
          <w:lang w:val="sv-SE"/>
        </w:rPr>
        <w:lastRenderedPageBreak/>
        <w:t>Pendahuluan</w:t>
      </w:r>
    </w:p>
    <w:p w:rsidR="00D04E5B" w:rsidRDefault="00393A67" w:rsidP="006D3B8C">
      <w:pPr>
        <w:autoSpaceDE w:val="0"/>
        <w:autoSpaceDN w:val="0"/>
        <w:adjustRightInd w:val="0"/>
        <w:ind w:firstLine="540"/>
        <w:jc w:val="both"/>
      </w:pPr>
      <w:r>
        <w:t xml:space="preserve">Tanaman Jagung merupakan komoditas pangan penting menduduki sektor pangan kedua setelah tanaman padi. </w:t>
      </w:r>
      <w:r w:rsidR="00664ABB">
        <w:t>B</w:t>
      </w:r>
      <w:r>
        <w:t>erdasarkan Badan Pusat Statistik tahun 201</w:t>
      </w:r>
      <w:r w:rsidR="00664ABB">
        <w:t>2</w:t>
      </w:r>
      <w:r w:rsidR="00B563DF">
        <w:t xml:space="preserve"> </w:t>
      </w:r>
      <w:r w:rsidR="00664ABB">
        <w:t xml:space="preserve">produksi jagung Kalimantan Barat tahun 2011 </w:t>
      </w:r>
      <w:r w:rsidR="00B563DF">
        <w:t xml:space="preserve">sebesar 160.826 </w:t>
      </w:r>
      <w:r>
        <w:t>ton, mengalami penurunan sebesar 5,56 persen pada tahun 201</w:t>
      </w:r>
      <w:r w:rsidR="00B563DF">
        <w:t>0</w:t>
      </w:r>
      <w:r>
        <w:t xml:space="preserve"> menjadi </w:t>
      </w:r>
      <w:r w:rsidR="00B563DF">
        <w:t xml:space="preserve">168.273 </w:t>
      </w:r>
      <w:r>
        <w:t>ton. Penurunan produksi disebabkan oleh menurunnya luas panen pada tahun 2011 sebesar 6,04 persen dibandingkan tahun 2010. (Badan Pusat Statistik Provinsi Kalimantan Barat 201</w:t>
      </w:r>
      <w:r w:rsidR="00B563DF">
        <w:t>2</w:t>
      </w:r>
      <w:r>
        <w:t>). Selain itu, penurunan produktivitas ini disebabkan karena banyaknya tanaman jagung yang dibudidayakan pada lahan gambut yang memiliki tingkat kesuburan yang rendah. Tingkat kemasaman yang tinggi, serta tingginya harga pupuk yang ada menjadikan petani kesulitan dalam meningkatkan hasil panen.</w:t>
      </w:r>
      <w:r w:rsidR="006D3B8C">
        <w:rPr>
          <w:lang w:val="id-ID"/>
        </w:rPr>
        <w:t xml:space="preserve"> </w:t>
      </w:r>
    </w:p>
    <w:p w:rsidR="00393A67" w:rsidRPr="006D3B8C" w:rsidRDefault="00393A67" w:rsidP="006D3B8C">
      <w:pPr>
        <w:autoSpaceDE w:val="0"/>
        <w:autoSpaceDN w:val="0"/>
        <w:adjustRightInd w:val="0"/>
        <w:ind w:firstLine="540"/>
        <w:jc w:val="both"/>
      </w:pPr>
      <w:r>
        <w:t>Menurut Sagima</w:t>
      </w:r>
      <w:r w:rsidR="001C3720">
        <w:t xml:space="preserve">n (2007), sifat fisik dan kimia </w:t>
      </w:r>
      <w:r>
        <w:t xml:space="preserve">gambut tidak mendukung atau kurang subur jika dijadikan lahan pertanian. </w:t>
      </w:r>
      <w:r w:rsidR="00AF5B9E">
        <w:t>G</w:t>
      </w:r>
      <w:r>
        <w:t>ambut mempunyai daya sangga dan daya semat (</w:t>
      </w:r>
      <w:r w:rsidRPr="00EA313B">
        <w:rPr>
          <w:i/>
        </w:rPr>
        <w:t>fixation</w:t>
      </w:r>
      <w:r>
        <w:t xml:space="preserve">) yang rendah terutama unsur P yang difiksasi oleh bahan organik, sehingga tanah cenderung menjerap fosfat mengakibatkan ketersediaan fosfat menurun dan akan </w:t>
      </w:r>
      <w:r w:rsidR="00B85F68">
        <w:t xml:space="preserve">menghambat pertumbuhan tanaman. </w:t>
      </w:r>
      <w:r w:rsidR="00102F81">
        <w:t>Oleh karena itu, diperlukan</w:t>
      </w:r>
      <w:r w:rsidR="00D04E5B">
        <w:t>lah</w:t>
      </w:r>
      <w:r w:rsidR="00102F81">
        <w:t xml:space="preserve"> upaya pemanfaatan bioteknologi mikroorganisme dalam tanah. Salah satu keanekaragaman hayati dan potensi dari mikroorganisme tersebut adalah dengan memanfaatkan kapang</w:t>
      </w:r>
      <w:r w:rsidR="00D04E5B">
        <w:t xml:space="preserve"> yang diduga memiliki kemampuan melarutkan fosfat.</w:t>
      </w:r>
    </w:p>
    <w:p w:rsidR="00393A67" w:rsidRDefault="00393A67" w:rsidP="00393A67">
      <w:pPr>
        <w:autoSpaceDE w:val="0"/>
        <w:autoSpaceDN w:val="0"/>
        <w:adjustRightInd w:val="0"/>
        <w:ind w:firstLine="540"/>
        <w:jc w:val="both"/>
      </w:pPr>
      <w:r>
        <w:t xml:space="preserve">Mengingat pentingnya peran mikroorganisme kapang sebagai penyedia unsur hara bagi tanaman dan relatif terbatasnya informasi mengenai peran kapang sebagai </w:t>
      </w:r>
      <w:r w:rsidR="00D04E5B">
        <w:t xml:space="preserve">biofertilizer, maka </w:t>
      </w:r>
      <w:r w:rsidR="00D637F9">
        <w:t>diperlukanlah  upaya</w:t>
      </w:r>
      <w:r w:rsidR="00D04E5B">
        <w:t xml:space="preserve"> </w:t>
      </w:r>
      <w:r w:rsidR="00D637F9">
        <w:t xml:space="preserve">untuk </w:t>
      </w:r>
      <w:r w:rsidR="00D04E5B">
        <w:t xml:space="preserve">memanfaatkan </w:t>
      </w:r>
      <w:r w:rsidR="00CF1B8B">
        <w:t xml:space="preserve">mikroorganisme </w:t>
      </w:r>
      <w:r w:rsidR="00D04E5B">
        <w:t xml:space="preserve">kapang </w:t>
      </w:r>
      <w:r w:rsidR="00D637F9">
        <w:t xml:space="preserve">pelarut fosfat </w:t>
      </w:r>
      <w:r>
        <w:t xml:space="preserve">sebagai bioteknologi pupuk hayati ramah lingkungan dengan pertimbangan banyaknya residu yang diakibatkan oleh pupuk </w:t>
      </w:r>
      <w:r w:rsidR="000849F2">
        <w:t>sintetis</w:t>
      </w:r>
      <w:r>
        <w:t xml:space="preserve"> </w:t>
      </w:r>
      <w:r w:rsidR="00CF1B8B">
        <w:t xml:space="preserve">dan sebagai pengurai unsur P </w:t>
      </w:r>
      <w:r>
        <w:t>sehingga dapat dikembangkan untuk menuju pertanian yang berkelanjutan.</w:t>
      </w:r>
    </w:p>
    <w:p w:rsidR="00393A67" w:rsidRDefault="00393A67" w:rsidP="00393A67">
      <w:pPr>
        <w:autoSpaceDE w:val="0"/>
        <w:autoSpaceDN w:val="0"/>
        <w:adjustRightInd w:val="0"/>
        <w:ind w:firstLine="540"/>
        <w:jc w:val="both"/>
      </w:pPr>
    </w:p>
    <w:p w:rsidR="006F54E4" w:rsidRPr="001319F3" w:rsidRDefault="006F54E4" w:rsidP="001319F3">
      <w:pPr>
        <w:autoSpaceDE w:val="0"/>
        <w:autoSpaceDN w:val="0"/>
        <w:adjustRightInd w:val="0"/>
        <w:ind w:left="2520" w:firstLine="360"/>
        <w:jc w:val="both"/>
        <w:rPr>
          <w:b/>
        </w:rPr>
      </w:pPr>
      <w:r w:rsidRPr="001319F3">
        <w:rPr>
          <w:b/>
        </w:rPr>
        <w:t>METODE PENELITIAN</w:t>
      </w:r>
    </w:p>
    <w:p w:rsidR="006F54E4" w:rsidRPr="006F54E4" w:rsidRDefault="006F54E4" w:rsidP="006F54E4">
      <w:pPr>
        <w:pStyle w:val="ListParagraph"/>
        <w:autoSpaceDE w:val="0"/>
        <w:autoSpaceDN w:val="0"/>
        <w:adjustRightInd w:val="0"/>
        <w:ind w:left="3510"/>
        <w:jc w:val="both"/>
        <w:rPr>
          <w:b/>
        </w:rPr>
      </w:pPr>
    </w:p>
    <w:p w:rsidR="00393A67" w:rsidRDefault="006F54E4" w:rsidP="00393A67">
      <w:pPr>
        <w:autoSpaceDE w:val="0"/>
        <w:autoSpaceDN w:val="0"/>
        <w:adjustRightInd w:val="0"/>
        <w:ind w:firstLine="540"/>
        <w:jc w:val="both"/>
      </w:pPr>
      <w:r>
        <w:t xml:space="preserve">Penelitian ini dilaksanakan di Jalan Tekam Perumnas </w:t>
      </w:r>
      <w:r w:rsidR="00231BD3">
        <w:t>T</w:t>
      </w:r>
      <w:r>
        <w:t xml:space="preserve">iga Pontianak Timur, dan </w:t>
      </w:r>
      <w:r w:rsidR="00231BD3">
        <w:t xml:space="preserve">Analisis dilakukan di </w:t>
      </w:r>
      <w:r>
        <w:t>Laboratorium HPT, Laboratorium Kimia dan Kesuburan Tanah Fakultas Pertanian Untan. Penelitian berlangsung selama 6 bulan, dimulai bulan Januari 2012 berakhir bulan Juni 2012.</w:t>
      </w:r>
      <w:r w:rsidR="00231BD3">
        <w:t xml:space="preserve"> </w:t>
      </w:r>
    </w:p>
    <w:p w:rsidR="00D73338" w:rsidRDefault="00D73338" w:rsidP="00D73338">
      <w:pPr>
        <w:tabs>
          <w:tab w:val="left" w:pos="810"/>
        </w:tabs>
        <w:ind w:firstLine="540"/>
        <w:jc w:val="both"/>
      </w:pPr>
      <w:r>
        <w:t>Bahan-bahan yang digunakan dalam penelitian ini antara lain media Potato Sukrosa Agar (PSA), alkohol 90 %, aquadest steril, spritus, kertas tissu, Amoxilin</w:t>
      </w:r>
      <w:r w:rsidR="0028079B">
        <w:t xml:space="preserve"> 500 mg</w:t>
      </w:r>
      <w:r>
        <w:t>, kapas, benih jagung (Bisi-816), pupuk dasar (N, P dan K), kapur dolomit (CaCO</w:t>
      </w:r>
      <w:r w:rsidRPr="00D73338">
        <w:rPr>
          <w:vertAlign w:val="subscript"/>
        </w:rPr>
        <w:t>3</w:t>
      </w:r>
      <w:r>
        <w:t xml:space="preserve">), isolat kapang </w:t>
      </w:r>
      <w:r w:rsidRPr="00D73338">
        <w:rPr>
          <w:i/>
        </w:rPr>
        <w:t xml:space="preserve">Aspergillus niger </w:t>
      </w:r>
      <w:r>
        <w:t xml:space="preserve">dan </w:t>
      </w:r>
      <w:r w:rsidRPr="00D73338">
        <w:rPr>
          <w:i/>
        </w:rPr>
        <w:t>Gliocladium virens</w:t>
      </w:r>
      <w:r>
        <w:t>, gambut untuk media tanam dan pol</w:t>
      </w:r>
      <w:r w:rsidR="009123EA">
        <w:t>i</w:t>
      </w:r>
      <w:r>
        <w:t>bag. Alat-alat yang digunakan dalam penelitian yaitu autoklaf, oven, inkubator, higrotermometer, timbangan analitik, cawan petri, tabung reaksi, erlenmeyer, micropipette, jarum inokulasi, laminar airflow, mikroskop, objek glass, deck glass, pH meter, lampu bunsen, objek dan cover glass, pipet volumentri, gelas ukur, h</w:t>
      </w:r>
      <w:r w:rsidR="00A73A20">
        <w:t>a</w:t>
      </w:r>
      <w:r>
        <w:t xml:space="preserve">emositometer, aluminium foil, vortex, meteran, sekop/cangkul, arit, ayakan, palu, paku, kamera, karung goni dan alat tulis-menulis. </w:t>
      </w:r>
    </w:p>
    <w:p w:rsidR="00D601BE" w:rsidRDefault="00D516EA" w:rsidP="00F2162B">
      <w:pPr>
        <w:pStyle w:val="ListParagraph"/>
        <w:tabs>
          <w:tab w:val="left" w:pos="810"/>
        </w:tabs>
        <w:ind w:left="0" w:firstLine="540"/>
        <w:jc w:val="both"/>
        <w:rPr>
          <w:color w:val="1A1A1A"/>
          <w:lang w:val="id-ID"/>
        </w:rPr>
      </w:pPr>
      <w:r>
        <w:rPr>
          <w:lang w:val="pt-BR"/>
        </w:rPr>
        <w:lastRenderedPageBreak/>
        <w:t xml:space="preserve">Penelitian menggunakan </w:t>
      </w:r>
      <w:r w:rsidRPr="00DB0AE0">
        <w:t xml:space="preserve">Rancangan Acak </w:t>
      </w:r>
      <w:r>
        <w:t>Lengkap</w:t>
      </w:r>
      <w:r w:rsidRPr="00DB0AE0">
        <w:t xml:space="preserve"> Faktorial (</w:t>
      </w:r>
      <w:r>
        <w:t xml:space="preserve">RAL) yang terdiri dari 2 faktor, </w:t>
      </w:r>
      <w:r>
        <w:rPr>
          <w:i/>
        </w:rPr>
        <w:t xml:space="preserve">A. niger </w:t>
      </w:r>
      <w:r>
        <w:t>a</w:t>
      </w:r>
      <w:r w:rsidRPr="005E1E6F">
        <w:rPr>
          <w:vertAlign w:val="subscript"/>
        </w:rPr>
        <w:t>1</w:t>
      </w:r>
      <w:r>
        <w:t>(10</w:t>
      </w:r>
      <w:r w:rsidRPr="00AA0D30">
        <w:t xml:space="preserve"> </w:t>
      </w:r>
      <w:r>
        <w:t>ml), a</w:t>
      </w:r>
      <w:r w:rsidRPr="005E1E6F">
        <w:rPr>
          <w:vertAlign w:val="subscript"/>
        </w:rPr>
        <w:t>2</w:t>
      </w:r>
      <w:r>
        <w:t>(15</w:t>
      </w:r>
      <w:r w:rsidRPr="00AA0D30">
        <w:t xml:space="preserve"> </w:t>
      </w:r>
      <w:r>
        <w:t>ml), a</w:t>
      </w:r>
      <w:r w:rsidRPr="005E1E6F">
        <w:rPr>
          <w:vertAlign w:val="subscript"/>
        </w:rPr>
        <w:t>3</w:t>
      </w:r>
      <w:r>
        <w:t>(20</w:t>
      </w:r>
      <w:r w:rsidRPr="00AA0D30">
        <w:t xml:space="preserve"> </w:t>
      </w:r>
      <w:r>
        <w:t>ml), a</w:t>
      </w:r>
      <w:r w:rsidRPr="005E1E6F">
        <w:rPr>
          <w:vertAlign w:val="subscript"/>
        </w:rPr>
        <w:t>4</w:t>
      </w:r>
      <w:r>
        <w:t xml:space="preserve">(25 ml) dan faktor kedua </w:t>
      </w:r>
      <w:r>
        <w:rPr>
          <w:i/>
        </w:rPr>
        <w:t>G. virens</w:t>
      </w:r>
      <w:r>
        <w:t xml:space="preserve"> dengan </w:t>
      </w:r>
      <w:r w:rsidR="00222E42">
        <w:t>4</w:t>
      </w:r>
      <w:r>
        <w:t xml:space="preserve"> taraf perlakuan g</w:t>
      </w:r>
      <w:r w:rsidRPr="005E1E6F">
        <w:rPr>
          <w:vertAlign w:val="subscript"/>
        </w:rPr>
        <w:t>1</w:t>
      </w:r>
      <w:r>
        <w:t>(10</w:t>
      </w:r>
      <w:r w:rsidRPr="00AA0D30">
        <w:t xml:space="preserve"> </w:t>
      </w:r>
      <w:r>
        <w:t>ml), g</w:t>
      </w:r>
      <w:r w:rsidRPr="005E1E6F">
        <w:rPr>
          <w:vertAlign w:val="subscript"/>
        </w:rPr>
        <w:t>2</w:t>
      </w:r>
      <w:r>
        <w:t>(15</w:t>
      </w:r>
      <w:r w:rsidRPr="00AA0D30">
        <w:t xml:space="preserve"> </w:t>
      </w:r>
      <w:r>
        <w:t>ml), g</w:t>
      </w:r>
      <w:r w:rsidRPr="005E1E6F">
        <w:rPr>
          <w:vertAlign w:val="subscript"/>
        </w:rPr>
        <w:t>3</w:t>
      </w:r>
      <w:r>
        <w:t>(20</w:t>
      </w:r>
      <w:r w:rsidRPr="00AA0D30">
        <w:t xml:space="preserve"> </w:t>
      </w:r>
      <w:r>
        <w:t>ml), dan g</w:t>
      </w:r>
      <w:r w:rsidRPr="005E1E6F">
        <w:rPr>
          <w:vertAlign w:val="subscript"/>
        </w:rPr>
        <w:t>4</w:t>
      </w:r>
      <w:r>
        <w:t>(25</w:t>
      </w:r>
      <w:r w:rsidRPr="00AA0D30">
        <w:t xml:space="preserve"> </w:t>
      </w:r>
      <w:r w:rsidR="009F7FC6">
        <w:t xml:space="preserve">ml). </w:t>
      </w:r>
      <w:r w:rsidR="009F7FC6">
        <w:rPr>
          <w:lang w:val="pt-BR"/>
        </w:rPr>
        <w:t>Variabel</w:t>
      </w:r>
      <w:r>
        <w:rPr>
          <w:lang w:val="pt-BR"/>
        </w:rPr>
        <w:t xml:space="preserve"> pengamatan meliputi </w:t>
      </w:r>
      <w:r w:rsidR="00145465">
        <w:rPr>
          <w:lang w:val="id-ID"/>
        </w:rPr>
        <w:t xml:space="preserve">jumlah kerapatan konidia </w:t>
      </w:r>
      <w:r w:rsidR="00145465">
        <w:rPr>
          <w:i/>
        </w:rPr>
        <w:t xml:space="preserve">A. niger </w:t>
      </w:r>
      <w:r w:rsidR="00145465">
        <w:rPr>
          <w:lang w:val="id-ID"/>
        </w:rPr>
        <w:t xml:space="preserve">dan </w:t>
      </w:r>
      <w:r w:rsidR="00145465">
        <w:rPr>
          <w:i/>
        </w:rPr>
        <w:t>G. virens</w:t>
      </w:r>
      <w:r w:rsidR="00145465">
        <w:rPr>
          <w:i/>
          <w:lang w:val="id-ID"/>
        </w:rPr>
        <w:t>,</w:t>
      </w:r>
      <w:r w:rsidR="00145465">
        <w:t xml:space="preserve"> </w:t>
      </w:r>
      <w:r>
        <w:rPr>
          <w:lang w:val="pt-BR"/>
        </w:rPr>
        <w:t>tinggi tanaman (cm), volume akar (cm</w:t>
      </w:r>
      <w:r w:rsidRPr="00573FEC">
        <w:rPr>
          <w:vertAlign w:val="superscript"/>
          <w:lang w:val="pt-BR"/>
        </w:rPr>
        <w:t>3</w:t>
      </w:r>
      <w:r>
        <w:rPr>
          <w:lang w:val="pt-BR"/>
        </w:rPr>
        <w:t xml:space="preserve">), bobot kering tanaman (g), </w:t>
      </w:r>
      <w:r w:rsidR="009F7FC6">
        <w:rPr>
          <w:lang w:val="pt-BR"/>
        </w:rPr>
        <w:t>dan serapan P tanaman</w:t>
      </w:r>
      <w:r>
        <w:rPr>
          <w:lang w:val="id-ID"/>
        </w:rPr>
        <w:t xml:space="preserve">. </w:t>
      </w:r>
      <w:r>
        <w:t xml:space="preserve">Analisis data menggunakan RAL faktorial. Jika </w:t>
      </w:r>
      <w:r>
        <w:rPr>
          <w:color w:val="1A1A1A"/>
        </w:rPr>
        <w:t>F</w:t>
      </w:r>
      <w:r w:rsidRPr="00D516EA">
        <w:rPr>
          <w:color w:val="1A1A1A"/>
          <w:vertAlign w:val="subscript"/>
        </w:rPr>
        <w:t>hitung</w:t>
      </w:r>
      <w:r>
        <w:rPr>
          <w:color w:val="1A1A1A"/>
        </w:rPr>
        <w:t xml:space="preserve"> menunjukkan adanya pengaruh nyata dari masing-masing perlakuan, maka dilanjutkan dengan uji beda nyata jujur (BNJ) dengan tingkat kepercayaan 5 %</w:t>
      </w:r>
      <w:r w:rsidR="00123066">
        <w:rPr>
          <w:color w:val="1A1A1A"/>
        </w:rPr>
        <w:t>.</w:t>
      </w:r>
      <w:r>
        <w:rPr>
          <w:color w:val="1A1A1A"/>
        </w:rPr>
        <w:t xml:space="preserve"> </w:t>
      </w:r>
    </w:p>
    <w:p w:rsidR="00E93025" w:rsidRPr="00E93025" w:rsidRDefault="00E93025" w:rsidP="00F2162B">
      <w:pPr>
        <w:pStyle w:val="ListParagraph"/>
        <w:tabs>
          <w:tab w:val="left" w:pos="810"/>
        </w:tabs>
        <w:ind w:left="0" w:firstLine="540"/>
        <w:jc w:val="both"/>
        <w:rPr>
          <w:color w:val="1A1A1A"/>
          <w:lang w:val="id-ID"/>
        </w:rPr>
      </w:pPr>
    </w:p>
    <w:p w:rsidR="00484CAD" w:rsidRPr="00AB63DA" w:rsidRDefault="00484CAD" w:rsidP="00C832A2">
      <w:pPr>
        <w:tabs>
          <w:tab w:val="left" w:pos="810"/>
        </w:tabs>
        <w:ind w:left="360"/>
        <w:jc w:val="center"/>
        <w:rPr>
          <w:b/>
        </w:rPr>
      </w:pPr>
      <w:r w:rsidRPr="00AB63DA">
        <w:rPr>
          <w:b/>
          <w:bCs/>
        </w:rPr>
        <w:t>HASIL DAN PEMBAHASAN</w:t>
      </w:r>
    </w:p>
    <w:p w:rsidR="00DB4F90" w:rsidRPr="00F3689D" w:rsidRDefault="00AB63DA" w:rsidP="00F3689D">
      <w:pPr>
        <w:pStyle w:val="ListParagraph"/>
        <w:numPr>
          <w:ilvl w:val="0"/>
          <w:numId w:val="24"/>
        </w:numPr>
        <w:spacing w:line="360" w:lineRule="auto"/>
        <w:ind w:left="720"/>
        <w:jc w:val="both"/>
        <w:rPr>
          <w:b/>
        </w:rPr>
      </w:pPr>
      <w:r w:rsidRPr="001D25FA">
        <w:rPr>
          <w:b/>
        </w:rPr>
        <w:t>HASIL</w:t>
      </w:r>
    </w:p>
    <w:p w:rsidR="00DB2992" w:rsidRPr="00DB4F90" w:rsidRDefault="00DB2992" w:rsidP="00F3689D">
      <w:pPr>
        <w:pStyle w:val="ListParagraph"/>
        <w:numPr>
          <w:ilvl w:val="0"/>
          <w:numId w:val="27"/>
        </w:numPr>
        <w:tabs>
          <w:tab w:val="left" w:pos="426"/>
          <w:tab w:val="left" w:pos="1440"/>
        </w:tabs>
        <w:ind w:left="720"/>
        <w:jc w:val="both"/>
        <w:rPr>
          <w:b/>
          <w:i/>
        </w:rPr>
      </w:pPr>
      <w:r w:rsidRPr="00DB4F90">
        <w:rPr>
          <w:b/>
        </w:rPr>
        <w:t xml:space="preserve">Perhitungan Kerapatan Konidia </w:t>
      </w:r>
      <w:r w:rsidRPr="00DB4F90">
        <w:rPr>
          <w:b/>
          <w:i/>
        </w:rPr>
        <w:t xml:space="preserve">A. niger </w:t>
      </w:r>
      <w:r w:rsidRPr="00DB4F90">
        <w:rPr>
          <w:b/>
        </w:rPr>
        <w:t xml:space="preserve">dan </w:t>
      </w:r>
      <w:r w:rsidRPr="00DB4F90">
        <w:rPr>
          <w:b/>
          <w:i/>
        </w:rPr>
        <w:t>G. virens</w:t>
      </w:r>
    </w:p>
    <w:p w:rsidR="00002ECB" w:rsidRDefault="00002ECB" w:rsidP="00002ECB">
      <w:pPr>
        <w:pStyle w:val="ListParagraph"/>
        <w:numPr>
          <w:ilvl w:val="0"/>
          <w:numId w:val="26"/>
        </w:numPr>
        <w:tabs>
          <w:tab w:val="left" w:pos="426"/>
        </w:tabs>
        <w:jc w:val="both"/>
        <w:rPr>
          <w:b/>
        </w:rPr>
      </w:pPr>
      <w:r w:rsidRPr="00002ECB">
        <w:rPr>
          <w:b/>
        </w:rPr>
        <w:t xml:space="preserve">Data perhitungan kerapatan konidia </w:t>
      </w:r>
      <w:r w:rsidRPr="00002ECB">
        <w:rPr>
          <w:b/>
          <w:i/>
        </w:rPr>
        <w:t xml:space="preserve">A. niger </w:t>
      </w:r>
      <w:r w:rsidRPr="00002ECB">
        <w:rPr>
          <w:b/>
        </w:rPr>
        <w:t>:</w:t>
      </w:r>
    </w:p>
    <w:tbl>
      <w:tblPr>
        <w:tblW w:w="6496" w:type="dxa"/>
        <w:tblInd w:w="92" w:type="dxa"/>
        <w:tblLook w:val="04A0"/>
      </w:tblPr>
      <w:tblGrid>
        <w:gridCol w:w="1636"/>
        <w:gridCol w:w="2430"/>
        <w:gridCol w:w="2430"/>
      </w:tblGrid>
      <w:tr w:rsidR="00002ECB" w:rsidRPr="0009365A" w:rsidTr="00002ECB">
        <w:trPr>
          <w:trHeight w:val="70"/>
        </w:trPr>
        <w:tc>
          <w:tcPr>
            <w:tcW w:w="1636" w:type="dxa"/>
            <w:tcBorders>
              <w:top w:val="single" w:sz="4" w:space="0" w:color="auto"/>
              <w:left w:val="nil"/>
              <w:bottom w:val="single" w:sz="4" w:space="0" w:color="auto"/>
              <w:right w:val="nil"/>
            </w:tcBorders>
            <w:shd w:val="clear" w:color="auto" w:fill="auto"/>
            <w:noWrap/>
            <w:vAlign w:val="bottom"/>
            <w:hideMark/>
          </w:tcPr>
          <w:p w:rsidR="00002ECB" w:rsidRPr="00AE3A1C" w:rsidRDefault="00002ECB" w:rsidP="00820F5E">
            <w:pPr>
              <w:ind w:left="178"/>
              <w:rPr>
                <w:b/>
                <w:color w:val="000000"/>
              </w:rPr>
            </w:pPr>
            <w:r w:rsidRPr="00AE3A1C">
              <w:rPr>
                <w:b/>
                <w:color w:val="000000"/>
              </w:rPr>
              <w:t>Ulangan ke</w:t>
            </w:r>
          </w:p>
        </w:tc>
        <w:tc>
          <w:tcPr>
            <w:tcW w:w="2430" w:type="dxa"/>
            <w:tcBorders>
              <w:top w:val="single" w:sz="4" w:space="0" w:color="auto"/>
              <w:left w:val="nil"/>
              <w:bottom w:val="single" w:sz="4" w:space="0" w:color="auto"/>
            </w:tcBorders>
          </w:tcPr>
          <w:p w:rsidR="00002ECB" w:rsidRPr="00AE3A1C" w:rsidRDefault="00002ECB" w:rsidP="00820F5E">
            <w:pPr>
              <w:ind w:left="178"/>
              <w:jc w:val="center"/>
              <w:rPr>
                <w:b/>
                <w:color w:val="000000"/>
              </w:rPr>
            </w:pPr>
            <w:r w:rsidRPr="00AE3A1C">
              <w:rPr>
                <w:b/>
                <w:color w:val="000000"/>
              </w:rPr>
              <w:t>Perhitungan</w:t>
            </w:r>
          </w:p>
        </w:tc>
        <w:tc>
          <w:tcPr>
            <w:tcW w:w="2430" w:type="dxa"/>
            <w:tcBorders>
              <w:top w:val="single" w:sz="4" w:space="0" w:color="auto"/>
              <w:left w:val="nil"/>
              <w:bottom w:val="single" w:sz="4" w:space="0" w:color="auto"/>
              <w:right w:val="nil"/>
            </w:tcBorders>
            <w:vAlign w:val="bottom"/>
          </w:tcPr>
          <w:p w:rsidR="00002ECB" w:rsidRPr="00AE3A1C" w:rsidRDefault="00002ECB" w:rsidP="00F97B02">
            <w:pPr>
              <w:rPr>
                <w:b/>
                <w:color w:val="000000"/>
              </w:rPr>
            </w:pPr>
            <w:r w:rsidRPr="00AE3A1C">
              <w:rPr>
                <w:b/>
                <w:color w:val="000000"/>
              </w:rPr>
              <w:t xml:space="preserve">Kerapatan </w:t>
            </w:r>
            <w:r w:rsidR="00F97B02">
              <w:rPr>
                <w:b/>
                <w:color w:val="000000"/>
              </w:rPr>
              <w:t>k</w:t>
            </w:r>
            <w:r w:rsidR="002F2332">
              <w:rPr>
                <w:b/>
                <w:color w:val="000000"/>
              </w:rPr>
              <w:t>onidia</w:t>
            </w:r>
          </w:p>
        </w:tc>
      </w:tr>
      <w:tr w:rsidR="00002ECB" w:rsidRPr="0009365A" w:rsidTr="00002ECB">
        <w:trPr>
          <w:trHeight w:val="70"/>
        </w:trPr>
        <w:tc>
          <w:tcPr>
            <w:tcW w:w="1636" w:type="dxa"/>
            <w:tcBorders>
              <w:top w:val="single" w:sz="4" w:space="0" w:color="auto"/>
              <w:left w:val="nil"/>
              <w:bottom w:val="nil"/>
              <w:right w:val="nil"/>
            </w:tcBorders>
            <w:shd w:val="clear" w:color="auto" w:fill="auto"/>
            <w:noWrap/>
            <w:vAlign w:val="bottom"/>
            <w:hideMark/>
          </w:tcPr>
          <w:p w:rsidR="00002ECB" w:rsidRPr="0009365A" w:rsidRDefault="00002ECB" w:rsidP="00820F5E">
            <w:pPr>
              <w:ind w:left="178"/>
              <w:jc w:val="center"/>
              <w:rPr>
                <w:color w:val="000000"/>
              </w:rPr>
            </w:pPr>
            <w:r w:rsidRPr="0009365A">
              <w:rPr>
                <w:color w:val="000000"/>
              </w:rPr>
              <w:t>I</w:t>
            </w:r>
          </w:p>
        </w:tc>
        <w:tc>
          <w:tcPr>
            <w:tcW w:w="2430" w:type="dxa"/>
            <w:tcBorders>
              <w:top w:val="single" w:sz="4" w:space="0" w:color="auto"/>
              <w:left w:val="nil"/>
              <w:bottom w:val="nil"/>
              <w:right w:val="nil"/>
            </w:tcBorders>
          </w:tcPr>
          <w:p w:rsidR="00002ECB" w:rsidRPr="007B11F4" w:rsidRDefault="00002ECB" w:rsidP="00820F5E">
            <w:pPr>
              <w:ind w:left="178"/>
              <w:rPr>
                <w:color w:val="000000"/>
              </w:rPr>
            </w:pPr>
            <w:r>
              <w:rPr>
                <w:color w:val="000000"/>
              </w:rPr>
              <w:t>28,8 x 2,5.10</w:t>
            </w:r>
            <w:r w:rsidRPr="007B11F4">
              <w:rPr>
                <w:color w:val="000000"/>
                <w:vertAlign w:val="superscript"/>
              </w:rPr>
              <w:t>6</w:t>
            </w:r>
            <w:r>
              <w:rPr>
                <w:color w:val="000000"/>
              </w:rPr>
              <w:t xml:space="preserve"> x 10</w:t>
            </w:r>
            <w:r w:rsidRPr="007B11F4">
              <w:rPr>
                <w:color w:val="000000"/>
                <w:vertAlign w:val="superscript"/>
              </w:rPr>
              <w:t>3</w:t>
            </w:r>
          </w:p>
        </w:tc>
        <w:tc>
          <w:tcPr>
            <w:tcW w:w="2430" w:type="dxa"/>
            <w:tcBorders>
              <w:top w:val="single" w:sz="4" w:space="0" w:color="auto"/>
              <w:left w:val="nil"/>
              <w:bottom w:val="nil"/>
              <w:right w:val="nil"/>
            </w:tcBorders>
            <w:vAlign w:val="center"/>
          </w:tcPr>
          <w:p w:rsidR="00002ECB" w:rsidRPr="0009365A" w:rsidRDefault="00002ECB" w:rsidP="00222E42">
            <w:pPr>
              <w:ind w:left="178"/>
              <w:jc w:val="center"/>
              <w:rPr>
                <w:color w:val="000000"/>
              </w:rPr>
            </w:pPr>
            <w:r>
              <w:rPr>
                <w:color w:val="000000"/>
              </w:rPr>
              <w:t>7</w:t>
            </w:r>
            <w:r w:rsidR="00222E42">
              <w:rPr>
                <w:color w:val="000000"/>
              </w:rPr>
              <w:t>,</w:t>
            </w:r>
            <w:r>
              <w:rPr>
                <w:color w:val="000000"/>
              </w:rPr>
              <w:t>2</w:t>
            </w:r>
            <w:r w:rsidRPr="0009365A">
              <w:rPr>
                <w:color w:val="000000"/>
              </w:rPr>
              <w:t xml:space="preserve"> x 10</w:t>
            </w:r>
            <w:r w:rsidR="00222E42">
              <w:rPr>
                <w:color w:val="000000"/>
                <w:vertAlign w:val="superscript"/>
              </w:rPr>
              <w:t>10</w:t>
            </w:r>
          </w:p>
        </w:tc>
      </w:tr>
      <w:tr w:rsidR="00002ECB" w:rsidRPr="0009365A" w:rsidTr="00820F5E">
        <w:trPr>
          <w:trHeight w:val="83"/>
        </w:trPr>
        <w:tc>
          <w:tcPr>
            <w:tcW w:w="1636" w:type="dxa"/>
            <w:tcBorders>
              <w:top w:val="nil"/>
              <w:left w:val="nil"/>
              <w:bottom w:val="nil"/>
              <w:right w:val="nil"/>
            </w:tcBorders>
            <w:shd w:val="clear" w:color="auto" w:fill="auto"/>
            <w:noWrap/>
            <w:vAlign w:val="bottom"/>
            <w:hideMark/>
          </w:tcPr>
          <w:p w:rsidR="00002ECB" w:rsidRPr="0009365A" w:rsidRDefault="00002ECB" w:rsidP="00820F5E">
            <w:pPr>
              <w:ind w:left="178"/>
              <w:jc w:val="center"/>
              <w:rPr>
                <w:color w:val="000000"/>
              </w:rPr>
            </w:pPr>
            <w:r w:rsidRPr="0009365A">
              <w:rPr>
                <w:color w:val="000000"/>
              </w:rPr>
              <w:t>II</w:t>
            </w:r>
          </w:p>
        </w:tc>
        <w:tc>
          <w:tcPr>
            <w:tcW w:w="2430" w:type="dxa"/>
            <w:tcBorders>
              <w:top w:val="nil"/>
              <w:left w:val="nil"/>
              <w:bottom w:val="nil"/>
              <w:right w:val="nil"/>
            </w:tcBorders>
          </w:tcPr>
          <w:p w:rsidR="00002ECB" w:rsidRDefault="00002ECB" w:rsidP="00820F5E">
            <w:pPr>
              <w:ind w:left="178"/>
              <w:jc w:val="center"/>
              <w:rPr>
                <w:color w:val="000000"/>
              </w:rPr>
            </w:pPr>
            <w:r>
              <w:rPr>
                <w:color w:val="000000"/>
              </w:rPr>
              <w:t>27 x 2,5.10</w:t>
            </w:r>
            <w:r w:rsidRPr="007B11F4">
              <w:rPr>
                <w:color w:val="000000"/>
                <w:vertAlign w:val="superscript"/>
              </w:rPr>
              <w:t>6</w:t>
            </w:r>
            <w:r>
              <w:rPr>
                <w:color w:val="000000"/>
              </w:rPr>
              <w:t xml:space="preserve"> x 10</w:t>
            </w:r>
            <w:r w:rsidRPr="007B11F4">
              <w:rPr>
                <w:color w:val="000000"/>
                <w:vertAlign w:val="superscript"/>
              </w:rPr>
              <w:t>3</w:t>
            </w:r>
          </w:p>
        </w:tc>
        <w:tc>
          <w:tcPr>
            <w:tcW w:w="2430" w:type="dxa"/>
            <w:tcBorders>
              <w:top w:val="nil"/>
              <w:left w:val="nil"/>
              <w:bottom w:val="nil"/>
              <w:right w:val="nil"/>
            </w:tcBorders>
            <w:vAlign w:val="center"/>
          </w:tcPr>
          <w:p w:rsidR="00002ECB" w:rsidRPr="0009365A" w:rsidRDefault="00002ECB" w:rsidP="00222E42">
            <w:pPr>
              <w:ind w:left="178"/>
              <w:jc w:val="center"/>
              <w:rPr>
                <w:color w:val="000000"/>
              </w:rPr>
            </w:pPr>
            <w:r>
              <w:rPr>
                <w:color w:val="000000"/>
              </w:rPr>
              <w:t>6</w:t>
            </w:r>
            <w:r w:rsidR="00222E42">
              <w:rPr>
                <w:color w:val="000000"/>
              </w:rPr>
              <w:t>,</w:t>
            </w:r>
            <w:r>
              <w:rPr>
                <w:color w:val="000000"/>
              </w:rPr>
              <w:t>75</w:t>
            </w:r>
            <w:r w:rsidRPr="0009365A">
              <w:rPr>
                <w:color w:val="000000"/>
              </w:rPr>
              <w:t xml:space="preserve"> x 10</w:t>
            </w:r>
            <w:r w:rsidR="00222E42">
              <w:rPr>
                <w:color w:val="000000"/>
                <w:vertAlign w:val="superscript"/>
              </w:rPr>
              <w:t>10</w:t>
            </w:r>
          </w:p>
        </w:tc>
      </w:tr>
      <w:tr w:rsidR="00002ECB" w:rsidRPr="0009365A" w:rsidTr="00820F5E">
        <w:trPr>
          <w:trHeight w:val="108"/>
        </w:trPr>
        <w:tc>
          <w:tcPr>
            <w:tcW w:w="1636" w:type="dxa"/>
            <w:tcBorders>
              <w:top w:val="nil"/>
              <w:left w:val="nil"/>
              <w:bottom w:val="nil"/>
              <w:right w:val="nil"/>
            </w:tcBorders>
            <w:shd w:val="clear" w:color="auto" w:fill="auto"/>
            <w:noWrap/>
            <w:vAlign w:val="bottom"/>
            <w:hideMark/>
          </w:tcPr>
          <w:p w:rsidR="00002ECB" w:rsidRPr="0009365A" w:rsidRDefault="00002ECB" w:rsidP="00820F5E">
            <w:pPr>
              <w:ind w:left="178"/>
              <w:jc w:val="center"/>
              <w:rPr>
                <w:color w:val="000000"/>
              </w:rPr>
            </w:pPr>
            <w:r w:rsidRPr="0009365A">
              <w:rPr>
                <w:color w:val="000000"/>
              </w:rPr>
              <w:t>III</w:t>
            </w:r>
          </w:p>
        </w:tc>
        <w:tc>
          <w:tcPr>
            <w:tcW w:w="2430" w:type="dxa"/>
            <w:tcBorders>
              <w:top w:val="nil"/>
              <w:left w:val="nil"/>
              <w:bottom w:val="nil"/>
              <w:right w:val="nil"/>
            </w:tcBorders>
          </w:tcPr>
          <w:p w:rsidR="00002ECB" w:rsidRDefault="00002ECB" w:rsidP="00820F5E">
            <w:pPr>
              <w:ind w:left="178"/>
              <w:rPr>
                <w:color w:val="000000"/>
              </w:rPr>
            </w:pPr>
            <w:r>
              <w:rPr>
                <w:color w:val="000000"/>
              </w:rPr>
              <w:t>31 x 2,5.10</w:t>
            </w:r>
            <w:r w:rsidRPr="007B11F4">
              <w:rPr>
                <w:color w:val="000000"/>
                <w:vertAlign w:val="superscript"/>
              </w:rPr>
              <w:t>6</w:t>
            </w:r>
            <w:r>
              <w:rPr>
                <w:color w:val="000000"/>
              </w:rPr>
              <w:t xml:space="preserve"> x 10</w:t>
            </w:r>
            <w:r w:rsidRPr="007B11F4">
              <w:rPr>
                <w:color w:val="000000"/>
                <w:vertAlign w:val="superscript"/>
              </w:rPr>
              <w:t>3</w:t>
            </w:r>
          </w:p>
        </w:tc>
        <w:tc>
          <w:tcPr>
            <w:tcW w:w="2430" w:type="dxa"/>
            <w:tcBorders>
              <w:top w:val="nil"/>
              <w:left w:val="nil"/>
              <w:bottom w:val="nil"/>
              <w:right w:val="nil"/>
            </w:tcBorders>
            <w:vAlign w:val="center"/>
          </w:tcPr>
          <w:p w:rsidR="00002ECB" w:rsidRPr="0009365A" w:rsidRDefault="00002ECB" w:rsidP="00222E42">
            <w:pPr>
              <w:ind w:left="178"/>
              <w:jc w:val="center"/>
              <w:rPr>
                <w:color w:val="000000"/>
              </w:rPr>
            </w:pPr>
            <w:r>
              <w:rPr>
                <w:color w:val="000000"/>
              </w:rPr>
              <w:t>7</w:t>
            </w:r>
            <w:r w:rsidR="00222E42">
              <w:rPr>
                <w:color w:val="000000"/>
              </w:rPr>
              <w:t>,</w:t>
            </w:r>
            <w:r>
              <w:rPr>
                <w:color w:val="000000"/>
              </w:rPr>
              <w:t>75</w:t>
            </w:r>
            <w:r w:rsidRPr="0009365A">
              <w:rPr>
                <w:color w:val="000000"/>
              </w:rPr>
              <w:t xml:space="preserve"> x 10</w:t>
            </w:r>
            <w:r w:rsidR="00222E42">
              <w:rPr>
                <w:color w:val="000000"/>
                <w:vertAlign w:val="superscript"/>
              </w:rPr>
              <w:t>10</w:t>
            </w:r>
          </w:p>
        </w:tc>
      </w:tr>
      <w:tr w:rsidR="00002ECB" w:rsidRPr="0009365A" w:rsidTr="00820F5E">
        <w:trPr>
          <w:trHeight w:val="83"/>
        </w:trPr>
        <w:tc>
          <w:tcPr>
            <w:tcW w:w="1636" w:type="dxa"/>
            <w:tcBorders>
              <w:top w:val="nil"/>
              <w:left w:val="nil"/>
              <w:bottom w:val="nil"/>
              <w:right w:val="nil"/>
            </w:tcBorders>
            <w:shd w:val="clear" w:color="auto" w:fill="auto"/>
            <w:noWrap/>
            <w:vAlign w:val="bottom"/>
            <w:hideMark/>
          </w:tcPr>
          <w:p w:rsidR="00002ECB" w:rsidRPr="0009365A" w:rsidRDefault="00002ECB" w:rsidP="00820F5E">
            <w:pPr>
              <w:ind w:left="178"/>
              <w:jc w:val="center"/>
              <w:rPr>
                <w:color w:val="000000"/>
              </w:rPr>
            </w:pPr>
            <w:r w:rsidRPr="0009365A">
              <w:rPr>
                <w:color w:val="000000"/>
              </w:rPr>
              <w:t>IV</w:t>
            </w:r>
          </w:p>
        </w:tc>
        <w:tc>
          <w:tcPr>
            <w:tcW w:w="2430" w:type="dxa"/>
            <w:tcBorders>
              <w:top w:val="nil"/>
              <w:left w:val="nil"/>
              <w:bottom w:val="nil"/>
              <w:right w:val="nil"/>
            </w:tcBorders>
          </w:tcPr>
          <w:p w:rsidR="00002ECB" w:rsidRDefault="00002ECB" w:rsidP="00820F5E">
            <w:pPr>
              <w:ind w:left="178"/>
              <w:rPr>
                <w:color w:val="000000"/>
              </w:rPr>
            </w:pPr>
            <w:r>
              <w:rPr>
                <w:color w:val="000000"/>
              </w:rPr>
              <w:t>22,8 x 2,5.10</w:t>
            </w:r>
            <w:r w:rsidRPr="007B11F4">
              <w:rPr>
                <w:color w:val="000000"/>
                <w:vertAlign w:val="superscript"/>
              </w:rPr>
              <w:t>6</w:t>
            </w:r>
            <w:r>
              <w:rPr>
                <w:color w:val="000000"/>
              </w:rPr>
              <w:t xml:space="preserve"> x 10</w:t>
            </w:r>
            <w:r w:rsidRPr="007B11F4">
              <w:rPr>
                <w:color w:val="000000"/>
                <w:vertAlign w:val="superscript"/>
              </w:rPr>
              <w:t>3</w:t>
            </w:r>
          </w:p>
        </w:tc>
        <w:tc>
          <w:tcPr>
            <w:tcW w:w="2430" w:type="dxa"/>
            <w:tcBorders>
              <w:top w:val="nil"/>
              <w:left w:val="nil"/>
              <w:bottom w:val="nil"/>
              <w:right w:val="nil"/>
            </w:tcBorders>
            <w:vAlign w:val="center"/>
          </w:tcPr>
          <w:p w:rsidR="00002ECB" w:rsidRPr="0009365A" w:rsidRDefault="00002ECB" w:rsidP="00820F5E">
            <w:pPr>
              <w:ind w:left="178"/>
              <w:jc w:val="center"/>
              <w:rPr>
                <w:color w:val="000000"/>
              </w:rPr>
            </w:pPr>
            <w:r>
              <w:rPr>
                <w:color w:val="000000"/>
              </w:rPr>
              <w:t>5</w:t>
            </w:r>
            <w:r w:rsidR="00222E42">
              <w:rPr>
                <w:color w:val="000000"/>
              </w:rPr>
              <w:t>,</w:t>
            </w:r>
            <w:r>
              <w:rPr>
                <w:color w:val="000000"/>
              </w:rPr>
              <w:t xml:space="preserve">7 </w:t>
            </w:r>
            <w:r w:rsidRPr="0009365A">
              <w:rPr>
                <w:color w:val="000000"/>
              </w:rPr>
              <w:t>x 10</w:t>
            </w:r>
            <w:r w:rsidR="00222E42">
              <w:rPr>
                <w:color w:val="000000"/>
                <w:vertAlign w:val="superscript"/>
              </w:rPr>
              <w:t>10</w:t>
            </w:r>
          </w:p>
        </w:tc>
      </w:tr>
      <w:tr w:rsidR="00002ECB" w:rsidRPr="0009365A" w:rsidTr="00820F5E">
        <w:trPr>
          <w:trHeight w:val="83"/>
        </w:trPr>
        <w:tc>
          <w:tcPr>
            <w:tcW w:w="1636" w:type="dxa"/>
            <w:tcBorders>
              <w:top w:val="nil"/>
              <w:left w:val="nil"/>
              <w:bottom w:val="single" w:sz="4" w:space="0" w:color="auto"/>
              <w:right w:val="nil"/>
            </w:tcBorders>
            <w:shd w:val="clear" w:color="auto" w:fill="auto"/>
            <w:noWrap/>
            <w:vAlign w:val="bottom"/>
            <w:hideMark/>
          </w:tcPr>
          <w:p w:rsidR="00002ECB" w:rsidRPr="0009365A" w:rsidRDefault="00002ECB" w:rsidP="00820F5E">
            <w:pPr>
              <w:ind w:left="178"/>
              <w:jc w:val="center"/>
              <w:rPr>
                <w:color w:val="000000"/>
              </w:rPr>
            </w:pPr>
            <w:r w:rsidRPr="0009365A">
              <w:rPr>
                <w:color w:val="000000"/>
              </w:rPr>
              <w:t>V</w:t>
            </w:r>
          </w:p>
        </w:tc>
        <w:tc>
          <w:tcPr>
            <w:tcW w:w="2430" w:type="dxa"/>
            <w:tcBorders>
              <w:top w:val="nil"/>
              <w:left w:val="nil"/>
              <w:bottom w:val="single" w:sz="4" w:space="0" w:color="auto"/>
              <w:right w:val="nil"/>
            </w:tcBorders>
          </w:tcPr>
          <w:p w:rsidR="00002ECB" w:rsidRDefault="00002ECB" w:rsidP="00820F5E">
            <w:pPr>
              <w:ind w:left="178"/>
              <w:rPr>
                <w:color w:val="000000"/>
              </w:rPr>
            </w:pPr>
            <w:r>
              <w:rPr>
                <w:color w:val="000000"/>
              </w:rPr>
              <w:t>48,2 x 2,5.10</w:t>
            </w:r>
            <w:r w:rsidRPr="007B11F4">
              <w:rPr>
                <w:color w:val="000000"/>
                <w:vertAlign w:val="superscript"/>
              </w:rPr>
              <w:t>6</w:t>
            </w:r>
            <w:r>
              <w:rPr>
                <w:color w:val="000000"/>
              </w:rPr>
              <w:t xml:space="preserve"> x 10</w:t>
            </w:r>
            <w:r w:rsidRPr="007B11F4">
              <w:rPr>
                <w:color w:val="000000"/>
                <w:vertAlign w:val="superscript"/>
              </w:rPr>
              <w:t>3</w:t>
            </w:r>
          </w:p>
        </w:tc>
        <w:tc>
          <w:tcPr>
            <w:tcW w:w="2430" w:type="dxa"/>
            <w:tcBorders>
              <w:top w:val="nil"/>
              <w:left w:val="nil"/>
              <w:bottom w:val="single" w:sz="4" w:space="0" w:color="auto"/>
              <w:right w:val="nil"/>
            </w:tcBorders>
            <w:vAlign w:val="center"/>
          </w:tcPr>
          <w:p w:rsidR="00002ECB" w:rsidRPr="0009365A" w:rsidRDefault="00002ECB" w:rsidP="00222E42">
            <w:pPr>
              <w:ind w:left="178"/>
              <w:jc w:val="center"/>
              <w:rPr>
                <w:color w:val="000000"/>
              </w:rPr>
            </w:pPr>
            <w:r>
              <w:rPr>
                <w:color w:val="000000"/>
              </w:rPr>
              <w:t>12</w:t>
            </w:r>
            <w:r w:rsidR="00222E42">
              <w:rPr>
                <w:color w:val="000000"/>
              </w:rPr>
              <w:t>,</w:t>
            </w:r>
            <w:r>
              <w:rPr>
                <w:color w:val="000000"/>
              </w:rPr>
              <w:t>05</w:t>
            </w:r>
            <w:r w:rsidRPr="0009365A">
              <w:rPr>
                <w:color w:val="000000"/>
              </w:rPr>
              <w:t xml:space="preserve"> x 10</w:t>
            </w:r>
            <w:r w:rsidR="00222E42">
              <w:rPr>
                <w:color w:val="000000"/>
                <w:vertAlign w:val="superscript"/>
              </w:rPr>
              <w:t>10</w:t>
            </w:r>
          </w:p>
        </w:tc>
      </w:tr>
      <w:tr w:rsidR="00002ECB" w:rsidRPr="0009365A" w:rsidTr="00820F5E">
        <w:trPr>
          <w:trHeight w:val="73"/>
        </w:trPr>
        <w:tc>
          <w:tcPr>
            <w:tcW w:w="1636" w:type="dxa"/>
            <w:tcBorders>
              <w:top w:val="single" w:sz="4" w:space="0" w:color="auto"/>
              <w:left w:val="nil"/>
              <w:bottom w:val="single" w:sz="4" w:space="0" w:color="auto"/>
              <w:right w:val="nil"/>
            </w:tcBorders>
            <w:shd w:val="clear" w:color="auto" w:fill="auto"/>
            <w:noWrap/>
            <w:vAlign w:val="bottom"/>
            <w:hideMark/>
          </w:tcPr>
          <w:p w:rsidR="00002ECB" w:rsidRPr="00DA4FFE" w:rsidRDefault="00002ECB" w:rsidP="00820F5E">
            <w:pPr>
              <w:ind w:left="178"/>
              <w:jc w:val="center"/>
              <w:rPr>
                <w:b/>
                <w:color w:val="000000"/>
              </w:rPr>
            </w:pPr>
            <w:r w:rsidRPr="00DA4FFE">
              <w:rPr>
                <w:b/>
                <w:color w:val="000000"/>
              </w:rPr>
              <w:t>Rata-rata</w:t>
            </w:r>
          </w:p>
        </w:tc>
        <w:tc>
          <w:tcPr>
            <w:tcW w:w="2430" w:type="dxa"/>
            <w:tcBorders>
              <w:top w:val="single" w:sz="4" w:space="0" w:color="auto"/>
              <w:left w:val="nil"/>
              <w:bottom w:val="single" w:sz="4" w:space="0" w:color="auto"/>
            </w:tcBorders>
          </w:tcPr>
          <w:p w:rsidR="00002ECB" w:rsidRDefault="00002ECB" w:rsidP="00820F5E">
            <w:pPr>
              <w:ind w:left="178"/>
              <w:jc w:val="center"/>
              <w:rPr>
                <w:color w:val="000000"/>
              </w:rPr>
            </w:pPr>
          </w:p>
        </w:tc>
        <w:tc>
          <w:tcPr>
            <w:tcW w:w="2430" w:type="dxa"/>
            <w:tcBorders>
              <w:top w:val="single" w:sz="4" w:space="0" w:color="auto"/>
              <w:left w:val="nil"/>
              <w:bottom w:val="single" w:sz="4" w:space="0" w:color="auto"/>
              <w:right w:val="nil"/>
            </w:tcBorders>
            <w:vAlign w:val="center"/>
          </w:tcPr>
          <w:p w:rsidR="00002ECB" w:rsidRPr="00222E42" w:rsidRDefault="00222E42" w:rsidP="00222E42">
            <w:pPr>
              <w:ind w:left="178"/>
              <w:jc w:val="center"/>
              <w:rPr>
                <w:color w:val="000000"/>
              </w:rPr>
            </w:pPr>
            <w:r>
              <w:rPr>
                <w:color w:val="000000"/>
              </w:rPr>
              <w:t>0,</w:t>
            </w:r>
            <w:r w:rsidR="00002ECB">
              <w:rPr>
                <w:color w:val="000000"/>
              </w:rPr>
              <w:t>7</w:t>
            </w:r>
            <w:r>
              <w:rPr>
                <w:color w:val="000000"/>
              </w:rPr>
              <w:t>9</w:t>
            </w:r>
            <w:r w:rsidR="00002ECB" w:rsidRPr="0009365A">
              <w:rPr>
                <w:color w:val="000000"/>
              </w:rPr>
              <w:t xml:space="preserve"> x 10</w:t>
            </w:r>
            <w:r w:rsidR="00FD0C64">
              <w:rPr>
                <w:rFonts w:ascii="Cambria Math" w:hAnsi="Cambria Math" w:cs="Cambria Math"/>
                <w:color w:val="000000"/>
                <w:vertAlign w:val="superscript"/>
                <w:lang w:val="id-ID"/>
              </w:rPr>
              <w:t>1</w:t>
            </w:r>
            <w:r>
              <w:rPr>
                <w:rFonts w:ascii="Cambria Math" w:hAnsi="Cambria Math" w:cs="Cambria Math"/>
                <w:color w:val="000000"/>
                <w:vertAlign w:val="superscript"/>
              </w:rPr>
              <w:t>1</w:t>
            </w:r>
          </w:p>
        </w:tc>
      </w:tr>
    </w:tbl>
    <w:p w:rsidR="00002ECB" w:rsidRDefault="00002ECB" w:rsidP="00002ECB">
      <w:pPr>
        <w:pStyle w:val="ListParagraph"/>
        <w:tabs>
          <w:tab w:val="left" w:pos="426"/>
        </w:tabs>
        <w:spacing w:line="360" w:lineRule="auto"/>
        <w:jc w:val="both"/>
        <w:rPr>
          <w:b/>
        </w:rPr>
      </w:pPr>
    </w:p>
    <w:p w:rsidR="00002ECB" w:rsidRDefault="00002ECB" w:rsidP="00002ECB">
      <w:pPr>
        <w:pStyle w:val="ListParagraph"/>
        <w:numPr>
          <w:ilvl w:val="0"/>
          <w:numId w:val="26"/>
        </w:numPr>
        <w:tabs>
          <w:tab w:val="left" w:pos="426"/>
        </w:tabs>
        <w:spacing w:line="360" w:lineRule="auto"/>
        <w:jc w:val="both"/>
        <w:rPr>
          <w:b/>
        </w:rPr>
      </w:pPr>
      <w:r w:rsidRPr="00002ECB">
        <w:rPr>
          <w:b/>
        </w:rPr>
        <w:t>Data perhitungan kerapatan konidia</w:t>
      </w:r>
      <w:r>
        <w:rPr>
          <w:b/>
        </w:rPr>
        <w:t xml:space="preserve"> </w:t>
      </w:r>
      <w:r>
        <w:rPr>
          <w:b/>
          <w:i/>
        </w:rPr>
        <w:t xml:space="preserve">G. virens </w:t>
      </w:r>
      <w:r w:rsidRPr="00002ECB">
        <w:rPr>
          <w:b/>
        </w:rPr>
        <w:t>:</w:t>
      </w:r>
    </w:p>
    <w:tbl>
      <w:tblPr>
        <w:tblW w:w="6496" w:type="dxa"/>
        <w:tblInd w:w="92" w:type="dxa"/>
        <w:tblLook w:val="04A0"/>
      </w:tblPr>
      <w:tblGrid>
        <w:gridCol w:w="1636"/>
        <w:gridCol w:w="2430"/>
        <w:gridCol w:w="2430"/>
      </w:tblGrid>
      <w:tr w:rsidR="00002ECB" w:rsidRPr="007770AA" w:rsidTr="00820F5E">
        <w:trPr>
          <w:trHeight w:val="73"/>
        </w:trPr>
        <w:tc>
          <w:tcPr>
            <w:tcW w:w="1636" w:type="dxa"/>
            <w:tcBorders>
              <w:top w:val="single" w:sz="4" w:space="0" w:color="auto"/>
              <w:left w:val="nil"/>
              <w:bottom w:val="single" w:sz="4" w:space="0" w:color="auto"/>
              <w:right w:val="nil"/>
            </w:tcBorders>
            <w:shd w:val="clear" w:color="auto" w:fill="auto"/>
            <w:noWrap/>
            <w:vAlign w:val="bottom"/>
            <w:hideMark/>
          </w:tcPr>
          <w:p w:rsidR="00002ECB" w:rsidRPr="00AE3A1C" w:rsidRDefault="00002ECB" w:rsidP="00820F5E">
            <w:pPr>
              <w:jc w:val="center"/>
              <w:rPr>
                <w:b/>
                <w:color w:val="000000"/>
              </w:rPr>
            </w:pPr>
            <w:r w:rsidRPr="00AE3A1C">
              <w:rPr>
                <w:b/>
                <w:color w:val="000000"/>
              </w:rPr>
              <w:t>Ulangan ke</w:t>
            </w:r>
          </w:p>
        </w:tc>
        <w:tc>
          <w:tcPr>
            <w:tcW w:w="2430" w:type="dxa"/>
            <w:tcBorders>
              <w:top w:val="single" w:sz="4" w:space="0" w:color="auto"/>
              <w:left w:val="nil"/>
              <w:bottom w:val="single" w:sz="4" w:space="0" w:color="auto"/>
            </w:tcBorders>
          </w:tcPr>
          <w:p w:rsidR="00002ECB" w:rsidRPr="00AE3A1C" w:rsidRDefault="00002ECB" w:rsidP="00820F5E">
            <w:pPr>
              <w:jc w:val="center"/>
              <w:rPr>
                <w:b/>
                <w:color w:val="000000"/>
              </w:rPr>
            </w:pPr>
            <w:r w:rsidRPr="00AE3A1C">
              <w:rPr>
                <w:b/>
                <w:color w:val="000000"/>
              </w:rPr>
              <w:t>Perhitungan</w:t>
            </w:r>
          </w:p>
        </w:tc>
        <w:tc>
          <w:tcPr>
            <w:tcW w:w="2430" w:type="dxa"/>
            <w:tcBorders>
              <w:top w:val="single" w:sz="4" w:space="0" w:color="auto"/>
              <w:left w:val="nil"/>
              <w:bottom w:val="single" w:sz="4" w:space="0" w:color="auto"/>
            </w:tcBorders>
            <w:vAlign w:val="bottom"/>
          </w:tcPr>
          <w:p w:rsidR="00002ECB" w:rsidRPr="00AE3A1C" w:rsidRDefault="00002ECB" w:rsidP="00F97B02">
            <w:pPr>
              <w:rPr>
                <w:b/>
                <w:color w:val="000000"/>
              </w:rPr>
            </w:pPr>
            <w:r w:rsidRPr="00AE3A1C">
              <w:rPr>
                <w:b/>
                <w:color w:val="000000"/>
              </w:rPr>
              <w:t xml:space="preserve">Kerapatan </w:t>
            </w:r>
            <w:r w:rsidR="00F97B02">
              <w:rPr>
                <w:b/>
                <w:color w:val="000000"/>
              </w:rPr>
              <w:t>k</w:t>
            </w:r>
            <w:r w:rsidR="002F2332">
              <w:rPr>
                <w:b/>
                <w:color w:val="000000"/>
              </w:rPr>
              <w:t>onidia</w:t>
            </w:r>
          </w:p>
        </w:tc>
      </w:tr>
      <w:tr w:rsidR="00002ECB" w:rsidRPr="007770AA" w:rsidTr="00820F5E">
        <w:trPr>
          <w:trHeight w:val="73"/>
        </w:trPr>
        <w:tc>
          <w:tcPr>
            <w:tcW w:w="1636" w:type="dxa"/>
            <w:tcBorders>
              <w:top w:val="single" w:sz="4" w:space="0" w:color="auto"/>
              <w:left w:val="nil"/>
              <w:bottom w:val="nil"/>
              <w:right w:val="nil"/>
            </w:tcBorders>
            <w:shd w:val="clear" w:color="auto" w:fill="auto"/>
            <w:noWrap/>
            <w:vAlign w:val="bottom"/>
            <w:hideMark/>
          </w:tcPr>
          <w:p w:rsidR="00002ECB" w:rsidRPr="007770AA" w:rsidRDefault="00002ECB" w:rsidP="00820F5E">
            <w:pPr>
              <w:jc w:val="center"/>
              <w:rPr>
                <w:color w:val="000000"/>
              </w:rPr>
            </w:pPr>
            <w:r w:rsidRPr="007770AA">
              <w:rPr>
                <w:color w:val="000000"/>
              </w:rPr>
              <w:t>I</w:t>
            </w:r>
          </w:p>
        </w:tc>
        <w:tc>
          <w:tcPr>
            <w:tcW w:w="2430" w:type="dxa"/>
            <w:tcBorders>
              <w:top w:val="single" w:sz="4" w:space="0" w:color="auto"/>
              <w:left w:val="nil"/>
              <w:bottom w:val="nil"/>
              <w:right w:val="nil"/>
            </w:tcBorders>
          </w:tcPr>
          <w:p w:rsidR="00002ECB" w:rsidRDefault="00002ECB" w:rsidP="00820F5E">
            <w:pPr>
              <w:jc w:val="center"/>
              <w:rPr>
                <w:color w:val="000000"/>
              </w:rPr>
            </w:pPr>
            <w:r>
              <w:rPr>
                <w:color w:val="000000"/>
              </w:rPr>
              <w:t>5,4 x 2,5.10</w:t>
            </w:r>
            <w:r w:rsidRPr="007B11F4">
              <w:rPr>
                <w:color w:val="000000"/>
                <w:vertAlign w:val="superscript"/>
              </w:rPr>
              <w:t>6</w:t>
            </w:r>
            <w:r>
              <w:rPr>
                <w:color w:val="000000"/>
              </w:rPr>
              <w:t xml:space="preserve"> x 10</w:t>
            </w:r>
            <w:r w:rsidRPr="007B11F4">
              <w:rPr>
                <w:color w:val="000000"/>
                <w:vertAlign w:val="superscript"/>
              </w:rPr>
              <w:t>3</w:t>
            </w:r>
          </w:p>
        </w:tc>
        <w:tc>
          <w:tcPr>
            <w:tcW w:w="2430" w:type="dxa"/>
            <w:tcBorders>
              <w:top w:val="single" w:sz="4" w:space="0" w:color="auto"/>
              <w:left w:val="nil"/>
              <w:bottom w:val="nil"/>
              <w:right w:val="nil"/>
            </w:tcBorders>
            <w:vAlign w:val="center"/>
          </w:tcPr>
          <w:p w:rsidR="00002ECB" w:rsidRPr="007770AA" w:rsidRDefault="00002ECB" w:rsidP="00222E42">
            <w:pPr>
              <w:jc w:val="center"/>
              <w:rPr>
                <w:color w:val="000000"/>
              </w:rPr>
            </w:pPr>
            <w:r>
              <w:rPr>
                <w:color w:val="000000"/>
              </w:rPr>
              <w:t>1</w:t>
            </w:r>
            <w:r w:rsidR="00222E42">
              <w:rPr>
                <w:color w:val="000000"/>
              </w:rPr>
              <w:t>,</w:t>
            </w:r>
            <w:r>
              <w:rPr>
                <w:color w:val="000000"/>
              </w:rPr>
              <w:t xml:space="preserve">35 </w:t>
            </w:r>
            <w:r w:rsidRPr="007770AA">
              <w:rPr>
                <w:color w:val="000000"/>
              </w:rPr>
              <w:t xml:space="preserve">x </w:t>
            </w:r>
            <w:r w:rsidRPr="0009365A">
              <w:rPr>
                <w:color w:val="000000"/>
              </w:rPr>
              <w:t>10</w:t>
            </w:r>
            <w:r w:rsidR="00222E42">
              <w:rPr>
                <w:color w:val="000000"/>
                <w:vertAlign w:val="superscript"/>
              </w:rPr>
              <w:t>10</w:t>
            </w:r>
          </w:p>
        </w:tc>
      </w:tr>
      <w:tr w:rsidR="00002ECB" w:rsidRPr="007770AA" w:rsidTr="00820F5E">
        <w:trPr>
          <w:trHeight w:val="83"/>
        </w:trPr>
        <w:tc>
          <w:tcPr>
            <w:tcW w:w="1636" w:type="dxa"/>
            <w:tcBorders>
              <w:top w:val="nil"/>
              <w:left w:val="nil"/>
              <w:bottom w:val="nil"/>
              <w:right w:val="nil"/>
            </w:tcBorders>
            <w:shd w:val="clear" w:color="auto" w:fill="auto"/>
            <w:noWrap/>
            <w:vAlign w:val="bottom"/>
            <w:hideMark/>
          </w:tcPr>
          <w:p w:rsidR="00002ECB" w:rsidRPr="007770AA" w:rsidRDefault="00002ECB" w:rsidP="00820F5E">
            <w:pPr>
              <w:jc w:val="center"/>
              <w:rPr>
                <w:color w:val="000000"/>
              </w:rPr>
            </w:pPr>
            <w:r w:rsidRPr="007770AA">
              <w:rPr>
                <w:color w:val="000000"/>
              </w:rPr>
              <w:t>II</w:t>
            </w:r>
          </w:p>
        </w:tc>
        <w:tc>
          <w:tcPr>
            <w:tcW w:w="2430" w:type="dxa"/>
            <w:tcBorders>
              <w:top w:val="nil"/>
              <w:left w:val="nil"/>
              <w:bottom w:val="nil"/>
              <w:right w:val="nil"/>
            </w:tcBorders>
          </w:tcPr>
          <w:p w:rsidR="00002ECB" w:rsidRDefault="00002ECB" w:rsidP="00820F5E">
            <w:pPr>
              <w:jc w:val="center"/>
              <w:rPr>
                <w:color w:val="000000"/>
              </w:rPr>
            </w:pPr>
            <w:r>
              <w:rPr>
                <w:color w:val="000000"/>
              </w:rPr>
              <w:t>2,4 x 2,5.10</w:t>
            </w:r>
            <w:r w:rsidRPr="007B11F4">
              <w:rPr>
                <w:color w:val="000000"/>
                <w:vertAlign w:val="superscript"/>
              </w:rPr>
              <w:t>6</w:t>
            </w:r>
            <w:r>
              <w:rPr>
                <w:color w:val="000000"/>
              </w:rPr>
              <w:t xml:space="preserve"> x 10</w:t>
            </w:r>
            <w:r w:rsidRPr="007B11F4">
              <w:rPr>
                <w:color w:val="000000"/>
                <w:vertAlign w:val="superscript"/>
              </w:rPr>
              <w:t>3</w:t>
            </w:r>
          </w:p>
        </w:tc>
        <w:tc>
          <w:tcPr>
            <w:tcW w:w="2430" w:type="dxa"/>
            <w:tcBorders>
              <w:top w:val="nil"/>
              <w:left w:val="nil"/>
              <w:bottom w:val="nil"/>
              <w:right w:val="nil"/>
            </w:tcBorders>
            <w:vAlign w:val="center"/>
          </w:tcPr>
          <w:p w:rsidR="00002ECB" w:rsidRPr="007770AA" w:rsidRDefault="008D3157" w:rsidP="00820F5E">
            <w:pPr>
              <w:jc w:val="center"/>
              <w:rPr>
                <w:color w:val="000000"/>
              </w:rPr>
            </w:pPr>
            <w:r>
              <w:rPr>
                <w:color w:val="000000"/>
              </w:rPr>
              <w:t>0,</w:t>
            </w:r>
            <w:r w:rsidR="00002ECB">
              <w:rPr>
                <w:color w:val="000000"/>
              </w:rPr>
              <w:t>6</w:t>
            </w:r>
            <w:r w:rsidR="00002ECB" w:rsidRPr="007770AA">
              <w:rPr>
                <w:color w:val="000000"/>
              </w:rPr>
              <w:t xml:space="preserve"> x </w:t>
            </w:r>
            <w:r w:rsidR="00002ECB" w:rsidRPr="0009365A">
              <w:rPr>
                <w:color w:val="000000"/>
              </w:rPr>
              <w:t>10</w:t>
            </w:r>
            <w:r w:rsidR="00222E42">
              <w:rPr>
                <w:color w:val="000000"/>
                <w:vertAlign w:val="superscript"/>
              </w:rPr>
              <w:t>10</w:t>
            </w:r>
          </w:p>
        </w:tc>
      </w:tr>
      <w:tr w:rsidR="00002ECB" w:rsidRPr="007770AA" w:rsidTr="00820F5E">
        <w:trPr>
          <w:trHeight w:val="83"/>
        </w:trPr>
        <w:tc>
          <w:tcPr>
            <w:tcW w:w="1636" w:type="dxa"/>
            <w:tcBorders>
              <w:top w:val="nil"/>
              <w:left w:val="nil"/>
              <w:bottom w:val="nil"/>
              <w:right w:val="nil"/>
            </w:tcBorders>
            <w:shd w:val="clear" w:color="auto" w:fill="auto"/>
            <w:noWrap/>
            <w:vAlign w:val="bottom"/>
            <w:hideMark/>
          </w:tcPr>
          <w:p w:rsidR="00002ECB" w:rsidRPr="007770AA" w:rsidRDefault="00002ECB" w:rsidP="00820F5E">
            <w:pPr>
              <w:jc w:val="center"/>
              <w:rPr>
                <w:color w:val="000000"/>
              </w:rPr>
            </w:pPr>
            <w:r w:rsidRPr="007770AA">
              <w:rPr>
                <w:color w:val="000000"/>
              </w:rPr>
              <w:t>III</w:t>
            </w:r>
          </w:p>
        </w:tc>
        <w:tc>
          <w:tcPr>
            <w:tcW w:w="2430" w:type="dxa"/>
            <w:tcBorders>
              <w:top w:val="nil"/>
              <w:left w:val="nil"/>
              <w:bottom w:val="nil"/>
              <w:right w:val="nil"/>
            </w:tcBorders>
          </w:tcPr>
          <w:p w:rsidR="00002ECB" w:rsidRDefault="00002ECB" w:rsidP="00820F5E">
            <w:pPr>
              <w:jc w:val="center"/>
              <w:rPr>
                <w:color w:val="000000"/>
              </w:rPr>
            </w:pPr>
            <w:r>
              <w:rPr>
                <w:color w:val="000000"/>
              </w:rPr>
              <w:t>3,6 x 2,5.10</w:t>
            </w:r>
            <w:r w:rsidRPr="007B11F4">
              <w:rPr>
                <w:color w:val="000000"/>
                <w:vertAlign w:val="superscript"/>
              </w:rPr>
              <w:t>6</w:t>
            </w:r>
            <w:r>
              <w:rPr>
                <w:color w:val="000000"/>
              </w:rPr>
              <w:t xml:space="preserve"> x 10</w:t>
            </w:r>
            <w:r w:rsidRPr="007B11F4">
              <w:rPr>
                <w:color w:val="000000"/>
                <w:vertAlign w:val="superscript"/>
              </w:rPr>
              <w:t>3</w:t>
            </w:r>
          </w:p>
        </w:tc>
        <w:tc>
          <w:tcPr>
            <w:tcW w:w="2430" w:type="dxa"/>
            <w:tcBorders>
              <w:top w:val="nil"/>
              <w:left w:val="nil"/>
              <w:bottom w:val="nil"/>
              <w:right w:val="nil"/>
            </w:tcBorders>
            <w:vAlign w:val="center"/>
          </w:tcPr>
          <w:p w:rsidR="00002ECB" w:rsidRPr="007770AA" w:rsidRDefault="008D3157" w:rsidP="00820F5E">
            <w:pPr>
              <w:jc w:val="center"/>
              <w:rPr>
                <w:color w:val="000000"/>
              </w:rPr>
            </w:pPr>
            <w:r>
              <w:rPr>
                <w:color w:val="000000"/>
              </w:rPr>
              <w:t>0,</w:t>
            </w:r>
            <w:r w:rsidR="00002ECB">
              <w:rPr>
                <w:color w:val="000000"/>
              </w:rPr>
              <w:t>9</w:t>
            </w:r>
            <w:r w:rsidR="00002ECB" w:rsidRPr="007770AA">
              <w:rPr>
                <w:color w:val="000000"/>
              </w:rPr>
              <w:t xml:space="preserve"> x </w:t>
            </w:r>
            <w:r w:rsidR="00002ECB" w:rsidRPr="0009365A">
              <w:rPr>
                <w:color w:val="000000"/>
              </w:rPr>
              <w:t>10</w:t>
            </w:r>
            <w:r w:rsidR="00222E42">
              <w:rPr>
                <w:color w:val="000000"/>
                <w:vertAlign w:val="superscript"/>
              </w:rPr>
              <w:t>10</w:t>
            </w:r>
          </w:p>
        </w:tc>
      </w:tr>
      <w:tr w:rsidR="00002ECB" w:rsidRPr="007770AA" w:rsidTr="00820F5E">
        <w:trPr>
          <w:trHeight w:val="83"/>
        </w:trPr>
        <w:tc>
          <w:tcPr>
            <w:tcW w:w="1636" w:type="dxa"/>
            <w:tcBorders>
              <w:top w:val="nil"/>
              <w:left w:val="nil"/>
              <w:bottom w:val="nil"/>
              <w:right w:val="nil"/>
            </w:tcBorders>
            <w:shd w:val="clear" w:color="auto" w:fill="auto"/>
            <w:noWrap/>
            <w:vAlign w:val="bottom"/>
            <w:hideMark/>
          </w:tcPr>
          <w:p w:rsidR="00002ECB" w:rsidRPr="007770AA" w:rsidRDefault="00002ECB" w:rsidP="00820F5E">
            <w:pPr>
              <w:jc w:val="center"/>
              <w:rPr>
                <w:color w:val="000000"/>
              </w:rPr>
            </w:pPr>
            <w:r w:rsidRPr="007770AA">
              <w:rPr>
                <w:color w:val="000000"/>
              </w:rPr>
              <w:t>IV</w:t>
            </w:r>
          </w:p>
        </w:tc>
        <w:tc>
          <w:tcPr>
            <w:tcW w:w="2430" w:type="dxa"/>
            <w:tcBorders>
              <w:top w:val="nil"/>
              <w:left w:val="nil"/>
              <w:bottom w:val="nil"/>
              <w:right w:val="nil"/>
            </w:tcBorders>
          </w:tcPr>
          <w:p w:rsidR="00002ECB" w:rsidRDefault="00002ECB" w:rsidP="00820F5E">
            <w:pPr>
              <w:jc w:val="center"/>
              <w:rPr>
                <w:color w:val="000000"/>
              </w:rPr>
            </w:pPr>
            <w:r>
              <w:rPr>
                <w:color w:val="000000"/>
              </w:rPr>
              <w:t>3,4 x 2,5.10</w:t>
            </w:r>
            <w:r w:rsidRPr="007B11F4">
              <w:rPr>
                <w:color w:val="000000"/>
                <w:vertAlign w:val="superscript"/>
              </w:rPr>
              <w:t>6</w:t>
            </w:r>
            <w:r>
              <w:rPr>
                <w:color w:val="000000"/>
              </w:rPr>
              <w:t xml:space="preserve"> x 10</w:t>
            </w:r>
            <w:r w:rsidRPr="007B11F4">
              <w:rPr>
                <w:color w:val="000000"/>
                <w:vertAlign w:val="superscript"/>
              </w:rPr>
              <w:t>3</w:t>
            </w:r>
          </w:p>
        </w:tc>
        <w:tc>
          <w:tcPr>
            <w:tcW w:w="2430" w:type="dxa"/>
            <w:tcBorders>
              <w:top w:val="nil"/>
              <w:left w:val="nil"/>
              <w:bottom w:val="nil"/>
              <w:right w:val="nil"/>
            </w:tcBorders>
            <w:vAlign w:val="center"/>
          </w:tcPr>
          <w:p w:rsidR="00002ECB" w:rsidRPr="007770AA" w:rsidRDefault="008D3157" w:rsidP="00820F5E">
            <w:pPr>
              <w:jc w:val="center"/>
              <w:rPr>
                <w:color w:val="000000"/>
              </w:rPr>
            </w:pPr>
            <w:r>
              <w:rPr>
                <w:color w:val="000000"/>
              </w:rPr>
              <w:t>0,8</w:t>
            </w:r>
            <w:r w:rsidR="00002ECB">
              <w:rPr>
                <w:color w:val="000000"/>
              </w:rPr>
              <w:t>5</w:t>
            </w:r>
            <w:r w:rsidR="00002ECB" w:rsidRPr="007770AA">
              <w:rPr>
                <w:color w:val="000000"/>
              </w:rPr>
              <w:t xml:space="preserve"> x </w:t>
            </w:r>
            <w:r w:rsidR="00002ECB" w:rsidRPr="0009365A">
              <w:rPr>
                <w:color w:val="000000"/>
              </w:rPr>
              <w:t>10</w:t>
            </w:r>
            <w:r w:rsidR="00222E42">
              <w:rPr>
                <w:color w:val="000000"/>
                <w:vertAlign w:val="superscript"/>
              </w:rPr>
              <w:t>10</w:t>
            </w:r>
          </w:p>
        </w:tc>
      </w:tr>
      <w:tr w:rsidR="00002ECB" w:rsidRPr="007770AA" w:rsidTr="00820F5E">
        <w:trPr>
          <w:trHeight w:val="83"/>
        </w:trPr>
        <w:tc>
          <w:tcPr>
            <w:tcW w:w="1636" w:type="dxa"/>
            <w:tcBorders>
              <w:top w:val="nil"/>
              <w:left w:val="nil"/>
              <w:bottom w:val="single" w:sz="4" w:space="0" w:color="auto"/>
              <w:right w:val="nil"/>
            </w:tcBorders>
            <w:shd w:val="clear" w:color="auto" w:fill="auto"/>
            <w:noWrap/>
            <w:vAlign w:val="bottom"/>
            <w:hideMark/>
          </w:tcPr>
          <w:p w:rsidR="00002ECB" w:rsidRPr="007770AA" w:rsidRDefault="00002ECB" w:rsidP="00820F5E">
            <w:pPr>
              <w:jc w:val="center"/>
              <w:rPr>
                <w:color w:val="000000"/>
              </w:rPr>
            </w:pPr>
            <w:r w:rsidRPr="007770AA">
              <w:rPr>
                <w:color w:val="000000"/>
              </w:rPr>
              <w:t>V</w:t>
            </w:r>
          </w:p>
        </w:tc>
        <w:tc>
          <w:tcPr>
            <w:tcW w:w="2430" w:type="dxa"/>
            <w:tcBorders>
              <w:top w:val="nil"/>
              <w:left w:val="nil"/>
              <w:bottom w:val="single" w:sz="4" w:space="0" w:color="auto"/>
              <w:right w:val="nil"/>
            </w:tcBorders>
          </w:tcPr>
          <w:p w:rsidR="00002ECB" w:rsidRDefault="00002ECB" w:rsidP="00820F5E">
            <w:pPr>
              <w:jc w:val="center"/>
              <w:rPr>
                <w:color w:val="000000"/>
              </w:rPr>
            </w:pPr>
            <w:r>
              <w:rPr>
                <w:color w:val="000000"/>
              </w:rPr>
              <w:t>1,7 x 2,5.10</w:t>
            </w:r>
            <w:r w:rsidRPr="007B11F4">
              <w:rPr>
                <w:color w:val="000000"/>
                <w:vertAlign w:val="superscript"/>
              </w:rPr>
              <w:t>6</w:t>
            </w:r>
            <w:r>
              <w:rPr>
                <w:color w:val="000000"/>
              </w:rPr>
              <w:t xml:space="preserve"> x 10</w:t>
            </w:r>
            <w:r w:rsidRPr="007B11F4">
              <w:rPr>
                <w:color w:val="000000"/>
                <w:vertAlign w:val="superscript"/>
              </w:rPr>
              <w:t>3</w:t>
            </w:r>
          </w:p>
        </w:tc>
        <w:tc>
          <w:tcPr>
            <w:tcW w:w="2430" w:type="dxa"/>
            <w:tcBorders>
              <w:top w:val="nil"/>
              <w:left w:val="nil"/>
              <w:bottom w:val="single" w:sz="4" w:space="0" w:color="auto"/>
              <w:right w:val="nil"/>
            </w:tcBorders>
            <w:vAlign w:val="center"/>
          </w:tcPr>
          <w:p w:rsidR="00002ECB" w:rsidRPr="007770AA" w:rsidRDefault="008D3157" w:rsidP="00820F5E">
            <w:pPr>
              <w:jc w:val="center"/>
              <w:rPr>
                <w:color w:val="000000"/>
              </w:rPr>
            </w:pPr>
            <w:r>
              <w:rPr>
                <w:color w:val="000000"/>
              </w:rPr>
              <w:t>0,4</w:t>
            </w:r>
            <w:r w:rsidR="00002ECB">
              <w:rPr>
                <w:color w:val="000000"/>
              </w:rPr>
              <w:t>25</w:t>
            </w:r>
            <w:r w:rsidR="00002ECB" w:rsidRPr="007770AA">
              <w:rPr>
                <w:color w:val="000000"/>
              </w:rPr>
              <w:t xml:space="preserve"> x </w:t>
            </w:r>
            <w:r w:rsidR="00002ECB" w:rsidRPr="0009365A">
              <w:rPr>
                <w:color w:val="000000"/>
              </w:rPr>
              <w:t>10</w:t>
            </w:r>
            <w:r w:rsidR="00222E42">
              <w:rPr>
                <w:color w:val="000000"/>
                <w:vertAlign w:val="superscript"/>
              </w:rPr>
              <w:t>10</w:t>
            </w:r>
          </w:p>
        </w:tc>
      </w:tr>
      <w:tr w:rsidR="00002ECB" w:rsidRPr="007770AA" w:rsidTr="00820F5E">
        <w:trPr>
          <w:trHeight w:val="70"/>
        </w:trPr>
        <w:tc>
          <w:tcPr>
            <w:tcW w:w="1636" w:type="dxa"/>
            <w:tcBorders>
              <w:top w:val="single" w:sz="4" w:space="0" w:color="auto"/>
              <w:left w:val="nil"/>
              <w:bottom w:val="single" w:sz="4" w:space="0" w:color="auto"/>
              <w:right w:val="nil"/>
            </w:tcBorders>
            <w:shd w:val="clear" w:color="auto" w:fill="auto"/>
            <w:noWrap/>
            <w:vAlign w:val="bottom"/>
            <w:hideMark/>
          </w:tcPr>
          <w:p w:rsidR="00002ECB" w:rsidRPr="00DA4FFE" w:rsidRDefault="00002ECB" w:rsidP="00820F5E">
            <w:pPr>
              <w:jc w:val="center"/>
              <w:rPr>
                <w:b/>
                <w:color w:val="000000"/>
              </w:rPr>
            </w:pPr>
            <w:r w:rsidRPr="00DA4FFE">
              <w:rPr>
                <w:b/>
                <w:color w:val="000000"/>
              </w:rPr>
              <w:t>Rata-rata</w:t>
            </w:r>
          </w:p>
        </w:tc>
        <w:tc>
          <w:tcPr>
            <w:tcW w:w="2430" w:type="dxa"/>
            <w:tcBorders>
              <w:top w:val="single" w:sz="4" w:space="0" w:color="auto"/>
              <w:left w:val="nil"/>
              <w:bottom w:val="single" w:sz="4" w:space="0" w:color="auto"/>
            </w:tcBorders>
          </w:tcPr>
          <w:p w:rsidR="00002ECB" w:rsidRDefault="00002ECB" w:rsidP="00820F5E">
            <w:pPr>
              <w:jc w:val="center"/>
              <w:rPr>
                <w:color w:val="000000"/>
              </w:rPr>
            </w:pPr>
          </w:p>
        </w:tc>
        <w:tc>
          <w:tcPr>
            <w:tcW w:w="2430" w:type="dxa"/>
            <w:tcBorders>
              <w:top w:val="single" w:sz="4" w:space="0" w:color="auto"/>
              <w:left w:val="nil"/>
              <w:bottom w:val="single" w:sz="4" w:space="0" w:color="auto"/>
            </w:tcBorders>
            <w:vAlign w:val="center"/>
          </w:tcPr>
          <w:p w:rsidR="00002ECB" w:rsidRPr="00222E42" w:rsidRDefault="008D3157" w:rsidP="008D3157">
            <w:pPr>
              <w:jc w:val="center"/>
              <w:rPr>
                <w:color w:val="000000"/>
              </w:rPr>
            </w:pPr>
            <w:r>
              <w:rPr>
                <w:color w:val="000000"/>
              </w:rPr>
              <w:t>0,0</w:t>
            </w:r>
            <w:r w:rsidR="00002ECB">
              <w:rPr>
                <w:color w:val="000000"/>
              </w:rPr>
              <w:t>82</w:t>
            </w:r>
            <w:r w:rsidR="00002ECB" w:rsidRPr="007770AA">
              <w:rPr>
                <w:color w:val="000000"/>
              </w:rPr>
              <w:t xml:space="preserve"> x 10</w:t>
            </w:r>
            <w:r w:rsidR="00FD0C64">
              <w:rPr>
                <w:rFonts w:ascii="Cambria Math" w:hAnsi="Cambria Math" w:cs="Cambria Math"/>
                <w:color w:val="000000"/>
                <w:vertAlign w:val="superscript"/>
                <w:lang w:val="id-ID"/>
              </w:rPr>
              <w:t>1</w:t>
            </w:r>
            <w:r w:rsidR="00222E42">
              <w:rPr>
                <w:rFonts w:ascii="Cambria Math" w:hAnsi="Cambria Math" w:cs="Cambria Math"/>
                <w:color w:val="000000"/>
                <w:vertAlign w:val="superscript"/>
              </w:rPr>
              <w:t>1</w:t>
            </w:r>
          </w:p>
        </w:tc>
      </w:tr>
    </w:tbl>
    <w:p w:rsidR="00002ECB" w:rsidRPr="00002ECB" w:rsidRDefault="00002ECB" w:rsidP="00002ECB">
      <w:pPr>
        <w:pStyle w:val="ListParagraph"/>
        <w:tabs>
          <w:tab w:val="left" w:pos="426"/>
        </w:tabs>
        <w:spacing w:line="360" w:lineRule="auto"/>
        <w:jc w:val="both"/>
        <w:rPr>
          <w:b/>
        </w:rPr>
      </w:pPr>
    </w:p>
    <w:p w:rsidR="00DB2992" w:rsidRPr="007F7B9D" w:rsidRDefault="007F7B9D" w:rsidP="007F7B9D">
      <w:pPr>
        <w:pStyle w:val="ListParagraph"/>
        <w:numPr>
          <w:ilvl w:val="0"/>
          <w:numId w:val="26"/>
        </w:numPr>
        <w:tabs>
          <w:tab w:val="left" w:pos="426"/>
        </w:tabs>
        <w:spacing w:line="360" w:lineRule="auto"/>
        <w:jc w:val="both"/>
        <w:rPr>
          <w:b/>
        </w:rPr>
      </w:pPr>
      <w:r w:rsidRPr="005528CC">
        <w:rPr>
          <w:b/>
          <w:bCs/>
          <w:color w:val="000000"/>
        </w:rPr>
        <w:t xml:space="preserve">Jumlah Konidia Pada Perlakuan </w:t>
      </w:r>
      <w:r w:rsidRPr="005528CC">
        <w:rPr>
          <w:b/>
          <w:bCs/>
          <w:i/>
          <w:color w:val="000000"/>
        </w:rPr>
        <w:t>A. niger</w:t>
      </w:r>
    </w:p>
    <w:tbl>
      <w:tblPr>
        <w:tblW w:w="6524" w:type="dxa"/>
        <w:tblInd w:w="91" w:type="dxa"/>
        <w:tblLook w:val="04A0"/>
      </w:tblPr>
      <w:tblGrid>
        <w:gridCol w:w="1664"/>
        <w:gridCol w:w="2430"/>
        <w:gridCol w:w="2430"/>
      </w:tblGrid>
      <w:tr w:rsidR="007F7B9D" w:rsidRPr="005528CC" w:rsidTr="002F2332">
        <w:trPr>
          <w:trHeight w:val="70"/>
        </w:trPr>
        <w:tc>
          <w:tcPr>
            <w:tcW w:w="1664" w:type="dxa"/>
            <w:tcBorders>
              <w:top w:val="single" w:sz="4" w:space="0" w:color="auto"/>
              <w:left w:val="nil"/>
              <w:bottom w:val="single" w:sz="4" w:space="0" w:color="auto"/>
              <w:right w:val="nil"/>
            </w:tcBorders>
            <w:shd w:val="clear" w:color="auto" w:fill="auto"/>
            <w:noWrap/>
            <w:vAlign w:val="bottom"/>
            <w:hideMark/>
          </w:tcPr>
          <w:p w:rsidR="007F7B9D" w:rsidRPr="005528CC" w:rsidRDefault="007F7B9D" w:rsidP="00820F5E">
            <w:pPr>
              <w:jc w:val="center"/>
              <w:rPr>
                <w:b/>
                <w:bCs/>
                <w:color w:val="000000"/>
              </w:rPr>
            </w:pPr>
            <w:r w:rsidRPr="005528CC">
              <w:rPr>
                <w:b/>
                <w:bCs/>
                <w:color w:val="000000"/>
              </w:rPr>
              <w:t>Perlakuan</w:t>
            </w:r>
          </w:p>
        </w:tc>
        <w:tc>
          <w:tcPr>
            <w:tcW w:w="2430" w:type="dxa"/>
            <w:tcBorders>
              <w:top w:val="single" w:sz="4" w:space="0" w:color="auto"/>
              <w:left w:val="nil"/>
              <w:bottom w:val="single" w:sz="4" w:space="0" w:color="auto"/>
              <w:right w:val="nil"/>
            </w:tcBorders>
            <w:shd w:val="clear" w:color="auto" w:fill="auto"/>
            <w:noWrap/>
            <w:vAlign w:val="bottom"/>
            <w:hideMark/>
          </w:tcPr>
          <w:p w:rsidR="007F7B9D" w:rsidRPr="005528CC" w:rsidRDefault="007F7B9D" w:rsidP="00820F5E">
            <w:pPr>
              <w:jc w:val="center"/>
              <w:rPr>
                <w:b/>
                <w:bCs/>
                <w:color w:val="000000"/>
              </w:rPr>
            </w:pPr>
            <w:r w:rsidRPr="005528CC">
              <w:rPr>
                <w:b/>
                <w:bCs/>
                <w:color w:val="000000"/>
              </w:rPr>
              <w:t>Jumlah suspensi (ml)</w:t>
            </w:r>
          </w:p>
        </w:tc>
        <w:tc>
          <w:tcPr>
            <w:tcW w:w="2430" w:type="dxa"/>
            <w:tcBorders>
              <w:top w:val="single" w:sz="4" w:space="0" w:color="auto"/>
              <w:left w:val="nil"/>
              <w:bottom w:val="single" w:sz="4" w:space="0" w:color="auto"/>
              <w:right w:val="nil"/>
            </w:tcBorders>
            <w:shd w:val="clear" w:color="auto" w:fill="auto"/>
            <w:noWrap/>
            <w:vAlign w:val="bottom"/>
            <w:hideMark/>
          </w:tcPr>
          <w:p w:rsidR="007F7B9D" w:rsidRPr="005528CC" w:rsidRDefault="007F7B9D" w:rsidP="00820F5E">
            <w:pPr>
              <w:jc w:val="center"/>
              <w:rPr>
                <w:b/>
                <w:bCs/>
                <w:color w:val="000000"/>
              </w:rPr>
            </w:pPr>
            <w:r w:rsidRPr="005528CC">
              <w:rPr>
                <w:b/>
                <w:bCs/>
                <w:color w:val="000000"/>
              </w:rPr>
              <w:t>Jumlah konidia (sel)</w:t>
            </w:r>
          </w:p>
        </w:tc>
      </w:tr>
      <w:tr w:rsidR="007F7B9D" w:rsidRPr="005C6F91" w:rsidTr="002F2332">
        <w:trPr>
          <w:trHeight w:val="70"/>
        </w:trPr>
        <w:tc>
          <w:tcPr>
            <w:tcW w:w="1664" w:type="dxa"/>
            <w:tcBorders>
              <w:top w:val="single" w:sz="4" w:space="0" w:color="auto"/>
              <w:left w:val="nil"/>
              <w:bottom w:val="nil"/>
              <w:right w:val="nil"/>
            </w:tcBorders>
            <w:shd w:val="clear" w:color="auto" w:fill="auto"/>
            <w:noWrap/>
            <w:vAlign w:val="bottom"/>
            <w:hideMark/>
          </w:tcPr>
          <w:p w:rsidR="007F7B9D" w:rsidRPr="005C6F91" w:rsidRDefault="007F7B9D" w:rsidP="00820F5E">
            <w:pPr>
              <w:jc w:val="center"/>
              <w:rPr>
                <w:color w:val="000000"/>
              </w:rPr>
            </w:pPr>
            <w:r w:rsidRPr="005C6F91">
              <w:rPr>
                <w:color w:val="000000"/>
              </w:rPr>
              <w:t>a</w:t>
            </w:r>
            <w:r w:rsidRPr="007F7B9D">
              <w:rPr>
                <w:color w:val="000000"/>
                <w:vertAlign w:val="subscript"/>
              </w:rPr>
              <w:t>1</w:t>
            </w:r>
          </w:p>
        </w:tc>
        <w:tc>
          <w:tcPr>
            <w:tcW w:w="2430" w:type="dxa"/>
            <w:tcBorders>
              <w:top w:val="single" w:sz="4" w:space="0" w:color="auto"/>
              <w:left w:val="nil"/>
              <w:bottom w:val="nil"/>
              <w:right w:val="nil"/>
            </w:tcBorders>
            <w:shd w:val="clear" w:color="auto" w:fill="auto"/>
            <w:noWrap/>
            <w:vAlign w:val="bottom"/>
            <w:hideMark/>
          </w:tcPr>
          <w:p w:rsidR="007F7B9D" w:rsidRPr="005C6F91" w:rsidRDefault="007F7B9D" w:rsidP="00820F5E">
            <w:pPr>
              <w:jc w:val="center"/>
              <w:rPr>
                <w:color w:val="000000"/>
              </w:rPr>
            </w:pPr>
            <w:r w:rsidRPr="005C6F91">
              <w:rPr>
                <w:color w:val="000000"/>
              </w:rPr>
              <w:t>10</w:t>
            </w:r>
          </w:p>
        </w:tc>
        <w:tc>
          <w:tcPr>
            <w:tcW w:w="2430" w:type="dxa"/>
            <w:tcBorders>
              <w:top w:val="single" w:sz="4" w:space="0" w:color="auto"/>
              <w:left w:val="nil"/>
              <w:bottom w:val="nil"/>
              <w:right w:val="nil"/>
            </w:tcBorders>
            <w:shd w:val="clear" w:color="auto" w:fill="auto"/>
            <w:noWrap/>
            <w:vAlign w:val="bottom"/>
            <w:hideMark/>
          </w:tcPr>
          <w:p w:rsidR="007F7B9D" w:rsidRPr="005C6F91" w:rsidRDefault="002F2332" w:rsidP="00820F5E">
            <w:pPr>
              <w:jc w:val="center"/>
              <w:rPr>
                <w:color w:val="000000"/>
              </w:rPr>
            </w:pPr>
            <w:r>
              <w:rPr>
                <w:color w:val="000000"/>
              </w:rPr>
              <w:t>10 x 0,79</w:t>
            </w:r>
            <w:r w:rsidRPr="0009365A">
              <w:rPr>
                <w:color w:val="000000"/>
              </w:rPr>
              <w:t xml:space="preserve"> x 10</w:t>
            </w:r>
            <w:r>
              <w:rPr>
                <w:rFonts w:ascii="Cambria Math" w:hAnsi="Cambria Math" w:cs="Cambria Math"/>
                <w:color w:val="000000"/>
                <w:vertAlign w:val="superscript"/>
                <w:lang w:val="id-ID"/>
              </w:rPr>
              <w:t>1</w:t>
            </w:r>
            <w:r>
              <w:rPr>
                <w:rFonts w:ascii="Cambria Math" w:hAnsi="Cambria Math" w:cs="Cambria Math"/>
                <w:color w:val="000000"/>
                <w:vertAlign w:val="superscript"/>
              </w:rPr>
              <w:t>1</w:t>
            </w:r>
          </w:p>
        </w:tc>
      </w:tr>
      <w:tr w:rsidR="007F7B9D" w:rsidRPr="005C6F91" w:rsidTr="00D645B2">
        <w:trPr>
          <w:trHeight w:val="70"/>
        </w:trPr>
        <w:tc>
          <w:tcPr>
            <w:tcW w:w="1664" w:type="dxa"/>
            <w:tcBorders>
              <w:left w:val="nil"/>
              <w:bottom w:val="nil"/>
              <w:right w:val="nil"/>
            </w:tcBorders>
            <w:shd w:val="clear" w:color="auto" w:fill="auto"/>
            <w:noWrap/>
            <w:vAlign w:val="bottom"/>
            <w:hideMark/>
          </w:tcPr>
          <w:p w:rsidR="007F7B9D" w:rsidRPr="005C6F91" w:rsidRDefault="007F7B9D" w:rsidP="00820F5E">
            <w:pPr>
              <w:jc w:val="center"/>
              <w:rPr>
                <w:color w:val="000000"/>
              </w:rPr>
            </w:pPr>
            <w:r w:rsidRPr="005C6F91">
              <w:rPr>
                <w:color w:val="000000"/>
              </w:rPr>
              <w:t>a</w:t>
            </w:r>
            <w:r w:rsidRPr="007F7B9D">
              <w:rPr>
                <w:color w:val="000000"/>
                <w:vertAlign w:val="subscript"/>
              </w:rPr>
              <w:t>2</w:t>
            </w:r>
          </w:p>
        </w:tc>
        <w:tc>
          <w:tcPr>
            <w:tcW w:w="2430" w:type="dxa"/>
            <w:tcBorders>
              <w:left w:val="nil"/>
              <w:bottom w:val="nil"/>
              <w:right w:val="nil"/>
            </w:tcBorders>
            <w:shd w:val="clear" w:color="auto" w:fill="auto"/>
            <w:noWrap/>
            <w:vAlign w:val="bottom"/>
            <w:hideMark/>
          </w:tcPr>
          <w:p w:rsidR="007F7B9D" w:rsidRPr="005C6F91" w:rsidRDefault="007F7B9D" w:rsidP="00820F5E">
            <w:pPr>
              <w:jc w:val="center"/>
              <w:rPr>
                <w:color w:val="000000"/>
              </w:rPr>
            </w:pPr>
            <w:r w:rsidRPr="005C6F91">
              <w:rPr>
                <w:color w:val="000000"/>
              </w:rPr>
              <w:t>15</w:t>
            </w:r>
          </w:p>
        </w:tc>
        <w:tc>
          <w:tcPr>
            <w:tcW w:w="2430" w:type="dxa"/>
            <w:tcBorders>
              <w:left w:val="nil"/>
              <w:bottom w:val="nil"/>
              <w:right w:val="nil"/>
            </w:tcBorders>
            <w:shd w:val="clear" w:color="auto" w:fill="auto"/>
            <w:noWrap/>
            <w:vAlign w:val="bottom"/>
            <w:hideMark/>
          </w:tcPr>
          <w:p w:rsidR="007F7B9D" w:rsidRPr="005C6F91" w:rsidRDefault="002F2332" w:rsidP="00820F5E">
            <w:pPr>
              <w:jc w:val="center"/>
              <w:rPr>
                <w:color w:val="000000"/>
              </w:rPr>
            </w:pPr>
            <w:r>
              <w:rPr>
                <w:color w:val="000000"/>
              </w:rPr>
              <w:t>15 x 0,79</w:t>
            </w:r>
            <w:r w:rsidRPr="0009365A">
              <w:rPr>
                <w:color w:val="000000"/>
              </w:rPr>
              <w:t xml:space="preserve"> x 10</w:t>
            </w:r>
            <w:r>
              <w:rPr>
                <w:rFonts w:ascii="Cambria Math" w:hAnsi="Cambria Math" w:cs="Cambria Math"/>
                <w:color w:val="000000"/>
                <w:vertAlign w:val="superscript"/>
                <w:lang w:val="id-ID"/>
              </w:rPr>
              <w:t>1</w:t>
            </w:r>
            <w:r>
              <w:rPr>
                <w:rFonts w:ascii="Cambria Math" w:hAnsi="Cambria Math" w:cs="Cambria Math"/>
                <w:color w:val="000000"/>
                <w:vertAlign w:val="superscript"/>
              </w:rPr>
              <w:t>1</w:t>
            </w:r>
          </w:p>
        </w:tc>
      </w:tr>
      <w:tr w:rsidR="007F7B9D" w:rsidRPr="005C6F91" w:rsidTr="00D645B2">
        <w:trPr>
          <w:trHeight w:val="70"/>
        </w:trPr>
        <w:tc>
          <w:tcPr>
            <w:tcW w:w="1664" w:type="dxa"/>
            <w:tcBorders>
              <w:left w:val="nil"/>
              <w:right w:val="nil"/>
            </w:tcBorders>
            <w:shd w:val="clear" w:color="auto" w:fill="auto"/>
            <w:noWrap/>
            <w:vAlign w:val="bottom"/>
            <w:hideMark/>
          </w:tcPr>
          <w:p w:rsidR="007F7B9D" w:rsidRPr="005C6F91" w:rsidRDefault="007F7B9D" w:rsidP="00820F5E">
            <w:pPr>
              <w:jc w:val="center"/>
              <w:rPr>
                <w:color w:val="000000"/>
              </w:rPr>
            </w:pPr>
            <w:r w:rsidRPr="005C6F91">
              <w:rPr>
                <w:color w:val="000000"/>
              </w:rPr>
              <w:t>a</w:t>
            </w:r>
            <w:r w:rsidRPr="007F7B9D">
              <w:rPr>
                <w:color w:val="000000"/>
                <w:vertAlign w:val="subscript"/>
              </w:rPr>
              <w:t>3</w:t>
            </w:r>
          </w:p>
        </w:tc>
        <w:tc>
          <w:tcPr>
            <w:tcW w:w="2430" w:type="dxa"/>
            <w:tcBorders>
              <w:left w:val="nil"/>
              <w:right w:val="nil"/>
            </w:tcBorders>
            <w:shd w:val="clear" w:color="auto" w:fill="auto"/>
            <w:noWrap/>
            <w:vAlign w:val="bottom"/>
            <w:hideMark/>
          </w:tcPr>
          <w:p w:rsidR="007F7B9D" w:rsidRPr="005C6F91" w:rsidRDefault="007F7B9D" w:rsidP="00820F5E">
            <w:pPr>
              <w:jc w:val="center"/>
              <w:rPr>
                <w:color w:val="000000"/>
              </w:rPr>
            </w:pPr>
            <w:r w:rsidRPr="005C6F91">
              <w:rPr>
                <w:color w:val="000000"/>
              </w:rPr>
              <w:t>20</w:t>
            </w:r>
          </w:p>
        </w:tc>
        <w:tc>
          <w:tcPr>
            <w:tcW w:w="2430" w:type="dxa"/>
            <w:tcBorders>
              <w:left w:val="nil"/>
              <w:right w:val="nil"/>
            </w:tcBorders>
            <w:shd w:val="clear" w:color="auto" w:fill="auto"/>
            <w:noWrap/>
            <w:vAlign w:val="bottom"/>
            <w:hideMark/>
          </w:tcPr>
          <w:p w:rsidR="007F7B9D" w:rsidRPr="005C6F91" w:rsidRDefault="002F2332" w:rsidP="00820F5E">
            <w:pPr>
              <w:jc w:val="center"/>
              <w:rPr>
                <w:color w:val="000000"/>
              </w:rPr>
            </w:pPr>
            <w:r>
              <w:rPr>
                <w:color w:val="000000"/>
              </w:rPr>
              <w:t>20 x 0,79</w:t>
            </w:r>
            <w:r w:rsidRPr="0009365A">
              <w:rPr>
                <w:color w:val="000000"/>
              </w:rPr>
              <w:t xml:space="preserve"> x 10</w:t>
            </w:r>
            <w:r>
              <w:rPr>
                <w:rFonts w:ascii="Cambria Math" w:hAnsi="Cambria Math" w:cs="Cambria Math"/>
                <w:color w:val="000000"/>
                <w:vertAlign w:val="superscript"/>
                <w:lang w:val="id-ID"/>
              </w:rPr>
              <w:t>1</w:t>
            </w:r>
            <w:r>
              <w:rPr>
                <w:rFonts w:ascii="Cambria Math" w:hAnsi="Cambria Math" w:cs="Cambria Math"/>
                <w:color w:val="000000"/>
                <w:vertAlign w:val="superscript"/>
              </w:rPr>
              <w:t>1</w:t>
            </w:r>
          </w:p>
        </w:tc>
      </w:tr>
      <w:tr w:rsidR="007F7B9D" w:rsidRPr="005C6F91" w:rsidTr="00D3367E">
        <w:trPr>
          <w:trHeight w:val="79"/>
        </w:trPr>
        <w:tc>
          <w:tcPr>
            <w:tcW w:w="1664" w:type="dxa"/>
            <w:tcBorders>
              <w:top w:val="nil"/>
              <w:left w:val="nil"/>
              <w:bottom w:val="single" w:sz="4" w:space="0" w:color="auto"/>
              <w:right w:val="nil"/>
            </w:tcBorders>
            <w:shd w:val="clear" w:color="auto" w:fill="auto"/>
            <w:noWrap/>
            <w:vAlign w:val="bottom"/>
            <w:hideMark/>
          </w:tcPr>
          <w:p w:rsidR="007F7B9D" w:rsidRPr="005C6F91" w:rsidRDefault="007F7B9D" w:rsidP="00820F5E">
            <w:pPr>
              <w:jc w:val="center"/>
              <w:rPr>
                <w:color w:val="000000"/>
              </w:rPr>
            </w:pPr>
            <w:r w:rsidRPr="005C6F91">
              <w:rPr>
                <w:color w:val="000000"/>
              </w:rPr>
              <w:t>a</w:t>
            </w:r>
            <w:r w:rsidRPr="007F7B9D">
              <w:rPr>
                <w:color w:val="000000"/>
                <w:vertAlign w:val="subscript"/>
              </w:rPr>
              <w:t>4</w:t>
            </w:r>
          </w:p>
        </w:tc>
        <w:tc>
          <w:tcPr>
            <w:tcW w:w="2430" w:type="dxa"/>
            <w:tcBorders>
              <w:top w:val="nil"/>
              <w:left w:val="nil"/>
              <w:bottom w:val="single" w:sz="4" w:space="0" w:color="auto"/>
              <w:right w:val="nil"/>
            </w:tcBorders>
            <w:shd w:val="clear" w:color="auto" w:fill="auto"/>
            <w:noWrap/>
            <w:vAlign w:val="bottom"/>
            <w:hideMark/>
          </w:tcPr>
          <w:p w:rsidR="007F7B9D" w:rsidRPr="005C6F91" w:rsidRDefault="007F7B9D" w:rsidP="00820F5E">
            <w:pPr>
              <w:jc w:val="center"/>
              <w:rPr>
                <w:color w:val="000000"/>
              </w:rPr>
            </w:pPr>
            <w:r w:rsidRPr="005C6F91">
              <w:rPr>
                <w:color w:val="000000"/>
              </w:rPr>
              <w:t>25</w:t>
            </w:r>
          </w:p>
        </w:tc>
        <w:tc>
          <w:tcPr>
            <w:tcW w:w="2430" w:type="dxa"/>
            <w:tcBorders>
              <w:top w:val="nil"/>
              <w:left w:val="nil"/>
              <w:bottom w:val="single" w:sz="4" w:space="0" w:color="auto"/>
              <w:right w:val="nil"/>
            </w:tcBorders>
            <w:shd w:val="clear" w:color="auto" w:fill="auto"/>
            <w:noWrap/>
            <w:vAlign w:val="bottom"/>
            <w:hideMark/>
          </w:tcPr>
          <w:p w:rsidR="007F7B9D" w:rsidRPr="005C6F91" w:rsidRDefault="002F2332" w:rsidP="00820F5E">
            <w:pPr>
              <w:jc w:val="center"/>
              <w:rPr>
                <w:color w:val="000000"/>
              </w:rPr>
            </w:pPr>
            <w:r>
              <w:rPr>
                <w:color w:val="000000"/>
              </w:rPr>
              <w:t>25 x 0,79</w:t>
            </w:r>
            <w:r w:rsidRPr="0009365A">
              <w:rPr>
                <w:color w:val="000000"/>
              </w:rPr>
              <w:t xml:space="preserve"> x 10</w:t>
            </w:r>
            <w:r>
              <w:rPr>
                <w:rFonts w:ascii="Cambria Math" w:hAnsi="Cambria Math" w:cs="Cambria Math"/>
                <w:color w:val="000000"/>
                <w:vertAlign w:val="superscript"/>
                <w:lang w:val="id-ID"/>
              </w:rPr>
              <w:t>1</w:t>
            </w:r>
            <w:r>
              <w:rPr>
                <w:rFonts w:ascii="Cambria Math" w:hAnsi="Cambria Math" w:cs="Cambria Math"/>
                <w:color w:val="000000"/>
                <w:vertAlign w:val="superscript"/>
              </w:rPr>
              <w:t>1</w:t>
            </w:r>
          </w:p>
        </w:tc>
      </w:tr>
    </w:tbl>
    <w:p w:rsidR="007F7B9D" w:rsidRDefault="007F7B9D" w:rsidP="002F2332">
      <w:pPr>
        <w:tabs>
          <w:tab w:val="left" w:pos="426"/>
        </w:tabs>
        <w:spacing w:line="360" w:lineRule="auto"/>
        <w:jc w:val="both"/>
        <w:rPr>
          <w:b/>
        </w:rPr>
      </w:pPr>
    </w:p>
    <w:p w:rsidR="007F7B9D" w:rsidRPr="007F7B9D" w:rsidRDefault="007F7B9D" w:rsidP="007F7B9D">
      <w:pPr>
        <w:pStyle w:val="ListParagraph"/>
        <w:numPr>
          <w:ilvl w:val="0"/>
          <w:numId w:val="26"/>
        </w:numPr>
        <w:tabs>
          <w:tab w:val="left" w:pos="426"/>
        </w:tabs>
        <w:spacing w:line="360" w:lineRule="auto"/>
        <w:jc w:val="both"/>
        <w:rPr>
          <w:b/>
        </w:rPr>
      </w:pPr>
      <w:r w:rsidRPr="005528CC">
        <w:rPr>
          <w:b/>
        </w:rPr>
        <w:t xml:space="preserve">Jumlah </w:t>
      </w:r>
      <w:r w:rsidRPr="005528CC">
        <w:rPr>
          <w:b/>
          <w:bCs/>
        </w:rPr>
        <w:t xml:space="preserve">Konidia Pada Perlakuan </w:t>
      </w:r>
      <w:r w:rsidRPr="005528CC">
        <w:rPr>
          <w:b/>
          <w:bCs/>
          <w:i/>
        </w:rPr>
        <w:t>G. virens</w:t>
      </w:r>
    </w:p>
    <w:tbl>
      <w:tblPr>
        <w:tblW w:w="6524" w:type="dxa"/>
        <w:tblInd w:w="91" w:type="dxa"/>
        <w:tblLook w:val="04A0"/>
      </w:tblPr>
      <w:tblGrid>
        <w:gridCol w:w="1664"/>
        <w:gridCol w:w="2430"/>
        <w:gridCol w:w="2430"/>
      </w:tblGrid>
      <w:tr w:rsidR="007F7B9D" w:rsidRPr="0035788E" w:rsidTr="007F7B9D">
        <w:trPr>
          <w:trHeight w:val="70"/>
        </w:trPr>
        <w:tc>
          <w:tcPr>
            <w:tcW w:w="1664" w:type="dxa"/>
            <w:tcBorders>
              <w:top w:val="single" w:sz="4" w:space="0" w:color="auto"/>
              <w:left w:val="nil"/>
              <w:bottom w:val="single" w:sz="4" w:space="0" w:color="auto"/>
              <w:right w:val="nil"/>
            </w:tcBorders>
            <w:shd w:val="clear" w:color="auto" w:fill="auto"/>
            <w:noWrap/>
            <w:vAlign w:val="bottom"/>
            <w:hideMark/>
          </w:tcPr>
          <w:p w:rsidR="007F7B9D" w:rsidRPr="0035788E" w:rsidRDefault="007F7B9D" w:rsidP="00820F5E">
            <w:pPr>
              <w:jc w:val="center"/>
              <w:rPr>
                <w:b/>
                <w:bCs/>
                <w:color w:val="000000"/>
              </w:rPr>
            </w:pPr>
            <w:r w:rsidRPr="0035788E">
              <w:rPr>
                <w:b/>
                <w:bCs/>
                <w:color w:val="000000"/>
              </w:rPr>
              <w:t xml:space="preserve">Perlakuan </w:t>
            </w:r>
          </w:p>
        </w:tc>
        <w:tc>
          <w:tcPr>
            <w:tcW w:w="2430" w:type="dxa"/>
            <w:tcBorders>
              <w:top w:val="single" w:sz="4" w:space="0" w:color="auto"/>
              <w:left w:val="nil"/>
              <w:bottom w:val="single" w:sz="4" w:space="0" w:color="auto"/>
              <w:right w:val="nil"/>
            </w:tcBorders>
            <w:shd w:val="clear" w:color="auto" w:fill="auto"/>
            <w:noWrap/>
            <w:vAlign w:val="bottom"/>
            <w:hideMark/>
          </w:tcPr>
          <w:p w:rsidR="007F7B9D" w:rsidRPr="0035788E" w:rsidRDefault="007F7B9D" w:rsidP="00820F5E">
            <w:pPr>
              <w:jc w:val="center"/>
              <w:rPr>
                <w:b/>
                <w:bCs/>
                <w:color w:val="000000"/>
              </w:rPr>
            </w:pPr>
            <w:r w:rsidRPr="0035788E">
              <w:rPr>
                <w:b/>
                <w:bCs/>
                <w:color w:val="000000"/>
              </w:rPr>
              <w:t>Jumlah suspensi (ml)</w:t>
            </w:r>
          </w:p>
        </w:tc>
        <w:tc>
          <w:tcPr>
            <w:tcW w:w="2430" w:type="dxa"/>
            <w:tcBorders>
              <w:top w:val="single" w:sz="4" w:space="0" w:color="auto"/>
              <w:left w:val="nil"/>
              <w:bottom w:val="single" w:sz="4" w:space="0" w:color="auto"/>
              <w:right w:val="nil"/>
            </w:tcBorders>
            <w:shd w:val="clear" w:color="auto" w:fill="auto"/>
            <w:noWrap/>
            <w:vAlign w:val="bottom"/>
            <w:hideMark/>
          </w:tcPr>
          <w:p w:rsidR="007F7B9D" w:rsidRPr="0035788E" w:rsidRDefault="007F7B9D" w:rsidP="00820F5E">
            <w:pPr>
              <w:jc w:val="center"/>
              <w:rPr>
                <w:b/>
                <w:bCs/>
                <w:color w:val="000000"/>
              </w:rPr>
            </w:pPr>
            <w:r w:rsidRPr="0035788E">
              <w:rPr>
                <w:b/>
                <w:bCs/>
                <w:color w:val="000000"/>
              </w:rPr>
              <w:t>Jumlah konidia (sel)</w:t>
            </w:r>
          </w:p>
        </w:tc>
      </w:tr>
      <w:tr w:rsidR="007F7B9D" w:rsidRPr="0035788E" w:rsidTr="007F7B9D">
        <w:trPr>
          <w:trHeight w:val="80"/>
        </w:trPr>
        <w:tc>
          <w:tcPr>
            <w:tcW w:w="1664" w:type="dxa"/>
            <w:tcBorders>
              <w:top w:val="nil"/>
              <w:left w:val="nil"/>
              <w:bottom w:val="nil"/>
              <w:right w:val="nil"/>
            </w:tcBorders>
            <w:shd w:val="clear" w:color="auto" w:fill="auto"/>
            <w:noWrap/>
            <w:vAlign w:val="bottom"/>
            <w:hideMark/>
          </w:tcPr>
          <w:p w:rsidR="007F7B9D" w:rsidRPr="0035788E" w:rsidRDefault="007F7B9D" w:rsidP="00820F5E">
            <w:pPr>
              <w:jc w:val="center"/>
              <w:rPr>
                <w:color w:val="000000"/>
              </w:rPr>
            </w:pPr>
            <w:r w:rsidRPr="0035788E">
              <w:rPr>
                <w:color w:val="000000"/>
              </w:rPr>
              <w:t>g</w:t>
            </w:r>
            <w:r w:rsidRPr="0035788E">
              <w:rPr>
                <w:color w:val="000000"/>
                <w:vertAlign w:val="subscript"/>
              </w:rPr>
              <w:t>1</w:t>
            </w:r>
          </w:p>
        </w:tc>
        <w:tc>
          <w:tcPr>
            <w:tcW w:w="2430" w:type="dxa"/>
            <w:tcBorders>
              <w:top w:val="nil"/>
              <w:left w:val="nil"/>
              <w:bottom w:val="nil"/>
              <w:right w:val="nil"/>
            </w:tcBorders>
            <w:shd w:val="clear" w:color="auto" w:fill="auto"/>
            <w:noWrap/>
            <w:vAlign w:val="bottom"/>
            <w:hideMark/>
          </w:tcPr>
          <w:p w:rsidR="007F7B9D" w:rsidRPr="0035788E" w:rsidRDefault="007F7B9D" w:rsidP="00820F5E">
            <w:pPr>
              <w:jc w:val="center"/>
              <w:rPr>
                <w:color w:val="000000"/>
              </w:rPr>
            </w:pPr>
            <w:r w:rsidRPr="0035788E">
              <w:rPr>
                <w:color w:val="000000"/>
              </w:rPr>
              <w:t>10</w:t>
            </w:r>
          </w:p>
        </w:tc>
        <w:tc>
          <w:tcPr>
            <w:tcW w:w="2430" w:type="dxa"/>
            <w:tcBorders>
              <w:top w:val="nil"/>
              <w:left w:val="nil"/>
              <w:bottom w:val="nil"/>
              <w:right w:val="nil"/>
            </w:tcBorders>
            <w:shd w:val="clear" w:color="auto" w:fill="auto"/>
            <w:noWrap/>
            <w:vAlign w:val="bottom"/>
            <w:hideMark/>
          </w:tcPr>
          <w:p w:rsidR="007F7B9D" w:rsidRPr="0035788E" w:rsidRDefault="002F2332" w:rsidP="00820F5E">
            <w:pPr>
              <w:jc w:val="center"/>
              <w:rPr>
                <w:color w:val="000000"/>
              </w:rPr>
            </w:pPr>
            <w:r>
              <w:rPr>
                <w:color w:val="000000"/>
              </w:rPr>
              <w:t>10 x 0,082</w:t>
            </w:r>
            <w:r w:rsidRPr="007770AA">
              <w:rPr>
                <w:color w:val="000000"/>
              </w:rPr>
              <w:t xml:space="preserve"> x 10</w:t>
            </w:r>
            <w:r>
              <w:rPr>
                <w:rFonts w:ascii="Cambria Math" w:hAnsi="Cambria Math" w:cs="Cambria Math"/>
                <w:color w:val="000000"/>
                <w:vertAlign w:val="superscript"/>
                <w:lang w:val="id-ID"/>
              </w:rPr>
              <w:t>1</w:t>
            </w:r>
            <w:r>
              <w:rPr>
                <w:rFonts w:ascii="Cambria Math" w:hAnsi="Cambria Math" w:cs="Cambria Math"/>
                <w:color w:val="000000"/>
                <w:vertAlign w:val="superscript"/>
              </w:rPr>
              <w:t>1</w:t>
            </w:r>
          </w:p>
        </w:tc>
      </w:tr>
      <w:tr w:rsidR="007F7B9D" w:rsidRPr="0035788E" w:rsidTr="007F7B9D">
        <w:trPr>
          <w:trHeight w:val="80"/>
        </w:trPr>
        <w:tc>
          <w:tcPr>
            <w:tcW w:w="1664" w:type="dxa"/>
            <w:tcBorders>
              <w:top w:val="nil"/>
              <w:left w:val="nil"/>
              <w:bottom w:val="nil"/>
              <w:right w:val="nil"/>
            </w:tcBorders>
            <w:shd w:val="clear" w:color="auto" w:fill="auto"/>
            <w:noWrap/>
            <w:vAlign w:val="bottom"/>
            <w:hideMark/>
          </w:tcPr>
          <w:p w:rsidR="007F7B9D" w:rsidRPr="0035788E" w:rsidRDefault="007F7B9D" w:rsidP="00820F5E">
            <w:pPr>
              <w:jc w:val="center"/>
              <w:rPr>
                <w:color w:val="000000"/>
              </w:rPr>
            </w:pPr>
            <w:r w:rsidRPr="0035788E">
              <w:rPr>
                <w:color w:val="000000"/>
              </w:rPr>
              <w:t>g</w:t>
            </w:r>
            <w:r w:rsidRPr="0035788E">
              <w:rPr>
                <w:color w:val="000000"/>
                <w:vertAlign w:val="subscript"/>
              </w:rPr>
              <w:t>2</w:t>
            </w:r>
          </w:p>
        </w:tc>
        <w:tc>
          <w:tcPr>
            <w:tcW w:w="2430" w:type="dxa"/>
            <w:tcBorders>
              <w:top w:val="nil"/>
              <w:left w:val="nil"/>
              <w:bottom w:val="nil"/>
              <w:right w:val="nil"/>
            </w:tcBorders>
            <w:shd w:val="clear" w:color="auto" w:fill="auto"/>
            <w:noWrap/>
            <w:vAlign w:val="bottom"/>
            <w:hideMark/>
          </w:tcPr>
          <w:p w:rsidR="007F7B9D" w:rsidRPr="0035788E" w:rsidRDefault="007F7B9D" w:rsidP="00820F5E">
            <w:pPr>
              <w:jc w:val="center"/>
              <w:rPr>
                <w:color w:val="000000"/>
              </w:rPr>
            </w:pPr>
            <w:r w:rsidRPr="0035788E">
              <w:rPr>
                <w:color w:val="000000"/>
              </w:rPr>
              <w:t>15</w:t>
            </w:r>
          </w:p>
        </w:tc>
        <w:tc>
          <w:tcPr>
            <w:tcW w:w="2430" w:type="dxa"/>
            <w:tcBorders>
              <w:top w:val="nil"/>
              <w:left w:val="nil"/>
              <w:bottom w:val="nil"/>
              <w:right w:val="nil"/>
            </w:tcBorders>
            <w:shd w:val="clear" w:color="auto" w:fill="auto"/>
            <w:noWrap/>
            <w:vAlign w:val="bottom"/>
            <w:hideMark/>
          </w:tcPr>
          <w:p w:rsidR="007F7B9D" w:rsidRPr="0035788E" w:rsidRDefault="002F2332" w:rsidP="00820F5E">
            <w:pPr>
              <w:jc w:val="center"/>
              <w:rPr>
                <w:color w:val="000000"/>
              </w:rPr>
            </w:pPr>
            <w:r>
              <w:rPr>
                <w:color w:val="000000"/>
              </w:rPr>
              <w:t>15 x 0,082</w:t>
            </w:r>
            <w:r w:rsidRPr="007770AA">
              <w:rPr>
                <w:color w:val="000000"/>
              </w:rPr>
              <w:t xml:space="preserve"> x 10</w:t>
            </w:r>
            <w:r>
              <w:rPr>
                <w:rFonts w:ascii="Cambria Math" w:hAnsi="Cambria Math" w:cs="Cambria Math"/>
                <w:color w:val="000000"/>
                <w:vertAlign w:val="superscript"/>
                <w:lang w:val="id-ID"/>
              </w:rPr>
              <w:t>1</w:t>
            </w:r>
            <w:r>
              <w:rPr>
                <w:rFonts w:ascii="Cambria Math" w:hAnsi="Cambria Math" w:cs="Cambria Math"/>
                <w:color w:val="000000"/>
                <w:vertAlign w:val="superscript"/>
              </w:rPr>
              <w:t>1</w:t>
            </w:r>
          </w:p>
        </w:tc>
      </w:tr>
      <w:tr w:rsidR="007F7B9D" w:rsidRPr="0035788E" w:rsidTr="007F7B9D">
        <w:trPr>
          <w:trHeight w:val="80"/>
        </w:trPr>
        <w:tc>
          <w:tcPr>
            <w:tcW w:w="1664" w:type="dxa"/>
            <w:tcBorders>
              <w:top w:val="nil"/>
              <w:left w:val="nil"/>
              <w:bottom w:val="nil"/>
              <w:right w:val="nil"/>
            </w:tcBorders>
            <w:shd w:val="clear" w:color="auto" w:fill="auto"/>
            <w:noWrap/>
            <w:vAlign w:val="bottom"/>
            <w:hideMark/>
          </w:tcPr>
          <w:p w:rsidR="007F7B9D" w:rsidRPr="0035788E" w:rsidRDefault="007F7B9D" w:rsidP="00820F5E">
            <w:pPr>
              <w:jc w:val="center"/>
              <w:rPr>
                <w:color w:val="000000"/>
              </w:rPr>
            </w:pPr>
            <w:r w:rsidRPr="0035788E">
              <w:rPr>
                <w:color w:val="000000"/>
              </w:rPr>
              <w:t>g</w:t>
            </w:r>
            <w:r w:rsidRPr="0035788E">
              <w:rPr>
                <w:color w:val="000000"/>
                <w:vertAlign w:val="subscript"/>
              </w:rPr>
              <w:t>3</w:t>
            </w:r>
          </w:p>
        </w:tc>
        <w:tc>
          <w:tcPr>
            <w:tcW w:w="2430" w:type="dxa"/>
            <w:tcBorders>
              <w:top w:val="nil"/>
              <w:left w:val="nil"/>
              <w:bottom w:val="nil"/>
              <w:right w:val="nil"/>
            </w:tcBorders>
            <w:shd w:val="clear" w:color="auto" w:fill="auto"/>
            <w:noWrap/>
            <w:vAlign w:val="bottom"/>
            <w:hideMark/>
          </w:tcPr>
          <w:p w:rsidR="007F7B9D" w:rsidRPr="0035788E" w:rsidRDefault="007F7B9D" w:rsidP="00820F5E">
            <w:pPr>
              <w:jc w:val="center"/>
              <w:rPr>
                <w:color w:val="000000"/>
              </w:rPr>
            </w:pPr>
            <w:r w:rsidRPr="0035788E">
              <w:rPr>
                <w:color w:val="000000"/>
              </w:rPr>
              <w:t>20</w:t>
            </w:r>
          </w:p>
        </w:tc>
        <w:tc>
          <w:tcPr>
            <w:tcW w:w="2430" w:type="dxa"/>
            <w:tcBorders>
              <w:top w:val="nil"/>
              <w:left w:val="nil"/>
              <w:bottom w:val="nil"/>
              <w:right w:val="nil"/>
            </w:tcBorders>
            <w:shd w:val="clear" w:color="auto" w:fill="auto"/>
            <w:noWrap/>
            <w:vAlign w:val="bottom"/>
            <w:hideMark/>
          </w:tcPr>
          <w:p w:rsidR="007F7B9D" w:rsidRPr="0035788E" w:rsidRDefault="002F2332" w:rsidP="00820F5E">
            <w:pPr>
              <w:jc w:val="center"/>
              <w:rPr>
                <w:color w:val="000000"/>
              </w:rPr>
            </w:pPr>
            <w:r>
              <w:rPr>
                <w:color w:val="000000"/>
              </w:rPr>
              <w:t>20 x 0,082</w:t>
            </w:r>
            <w:r w:rsidRPr="007770AA">
              <w:rPr>
                <w:color w:val="000000"/>
              </w:rPr>
              <w:t xml:space="preserve"> x 10</w:t>
            </w:r>
            <w:r>
              <w:rPr>
                <w:rFonts w:ascii="Cambria Math" w:hAnsi="Cambria Math" w:cs="Cambria Math"/>
                <w:color w:val="000000"/>
                <w:vertAlign w:val="superscript"/>
                <w:lang w:val="id-ID"/>
              </w:rPr>
              <w:t>1</w:t>
            </w:r>
            <w:r>
              <w:rPr>
                <w:rFonts w:ascii="Cambria Math" w:hAnsi="Cambria Math" w:cs="Cambria Math"/>
                <w:color w:val="000000"/>
                <w:vertAlign w:val="superscript"/>
              </w:rPr>
              <w:t>1</w:t>
            </w:r>
          </w:p>
        </w:tc>
      </w:tr>
      <w:tr w:rsidR="007F7B9D" w:rsidRPr="0035788E" w:rsidTr="007F7B9D">
        <w:trPr>
          <w:trHeight w:val="80"/>
        </w:trPr>
        <w:tc>
          <w:tcPr>
            <w:tcW w:w="1664" w:type="dxa"/>
            <w:tcBorders>
              <w:top w:val="nil"/>
              <w:left w:val="nil"/>
              <w:bottom w:val="single" w:sz="4" w:space="0" w:color="auto"/>
              <w:right w:val="nil"/>
            </w:tcBorders>
            <w:shd w:val="clear" w:color="auto" w:fill="auto"/>
            <w:noWrap/>
            <w:vAlign w:val="bottom"/>
            <w:hideMark/>
          </w:tcPr>
          <w:p w:rsidR="007F7B9D" w:rsidRPr="0035788E" w:rsidRDefault="007F7B9D" w:rsidP="00820F5E">
            <w:pPr>
              <w:jc w:val="center"/>
              <w:rPr>
                <w:color w:val="000000"/>
              </w:rPr>
            </w:pPr>
            <w:r w:rsidRPr="0035788E">
              <w:rPr>
                <w:color w:val="000000"/>
              </w:rPr>
              <w:t>g</w:t>
            </w:r>
            <w:r w:rsidRPr="0035788E">
              <w:rPr>
                <w:color w:val="000000"/>
                <w:vertAlign w:val="subscript"/>
              </w:rPr>
              <w:t>4</w:t>
            </w:r>
          </w:p>
        </w:tc>
        <w:tc>
          <w:tcPr>
            <w:tcW w:w="2430" w:type="dxa"/>
            <w:tcBorders>
              <w:top w:val="nil"/>
              <w:left w:val="nil"/>
              <w:bottom w:val="single" w:sz="4" w:space="0" w:color="auto"/>
              <w:right w:val="nil"/>
            </w:tcBorders>
            <w:shd w:val="clear" w:color="auto" w:fill="auto"/>
            <w:noWrap/>
            <w:vAlign w:val="bottom"/>
            <w:hideMark/>
          </w:tcPr>
          <w:p w:rsidR="007F7B9D" w:rsidRPr="0035788E" w:rsidRDefault="007F7B9D" w:rsidP="00820F5E">
            <w:pPr>
              <w:jc w:val="center"/>
              <w:rPr>
                <w:color w:val="000000"/>
              </w:rPr>
            </w:pPr>
            <w:r w:rsidRPr="0035788E">
              <w:rPr>
                <w:color w:val="000000"/>
              </w:rPr>
              <w:t>25</w:t>
            </w:r>
          </w:p>
        </w:tc>
        <w:tc>
          <w:tcPr>
            <w:tcW w:w="2430" w:type="dxa"/>
            <w:tcBorders>
              <w:top w:val="nil"/>
              <w:left w:val="nil"/>
              <w:bottom w:val="single" w:sz="4" w:space="0" w:color="auto"/>
              <w:right w:val="nil"/>
            </w:tcBorders>
            <w:shd w:val="clear" w:color="auto" w:fill="auto"/>
            <w:noWrap/>
            <w:vAlign w:val="bottom"/>
            <w:hideMark/>
          </w:tcPr>
          <w:p w:rsidR="007F7B9D" w:rsidRPr="0035788E" w:rsidRDefault="002F2332" w:rsidP="00820F5E">
            <w:pPr>
              <w:jc w:val="center"/>
              <w:rPr>
                <w:color w:val="000000"/>
              </w:rPr>
            </w:pPr>
            <w:r>
              <w:rPr>
                <w:color w:val="000000"/>
              </w:rPr>
              <w:t>25 x 0,082</w:t>
            </w:r>
            <w:r w:rsidRPr="007770AA">
              <w:rPr>
                <w:color w:val="000000"/>
              </w:rPr>
              <w:t xml:space="preserve"> x 10</w:t>
            </w:r>
            <w:r>
              <w:rPr>
                <w:rFonts w:ascii="Cambria Math" w:hAnsi="Cambria Math" w:cs="Cambria Math"/>
                <w:color w:val="000000"/>
                <w:vertAlign w:val="superscript"/>
                <w:lang w:val="id-ID"/>
              </w:rPr>
              <w:t>1</w:t>
            </w:r>
            <w:r>
              <w:rPr>
                <w:rFonts w:ascii="Cambria Math" w:hAnsi="Cambria Math" w:cs="Cambria Math"/>
                <w:color w:val="000000"/>
                <w:vertAlign w:val="superscript"/>
              </w:rPr>
              <w:t>1</w:t>
            </w:r>
          </w:p>
        </w:tc>
      </w:tr>
    </w:tbl>
    <w:p w:rsidR="007F7B9D" w:rsidRPr="000469D1" w:rsidRDefault="007F7B9D" w:rsidP="00765AB4">
      <w:pPr>
        <w:tabs>
          <w:tab w:val="left" w:pos="426"/>
        </w:tabs>
        <w:jc w:val="both"/>
        <w:rPr>
          <w:b/>
        </w:rPr>
      </w:pPr>
    </w:p>
    <w:p w:rsidR="00AB63DA" w:rsidRPr="007E0946" w:rsidRDefault="00AB63DA" w:rsidP="000469D1">
      <w:pPr>
        <w:pStyle w:val="ListParagraph"/>
        <w:numPr>
          <w:ilvl w:val="0"/>
          <w:numId w:val="27"/>
        </w:numPr>
        <w:ind w:left="720"/>
        <w:jc w:val="both"/>
        <w:rPr>
          <w:b/>
        </w:rPr>
      </w:pPr>
      <w:r w:rsidRPr="007E0946">
        <w:rPr>
          <w:b/>
        </w:rPr>
        <w:lastRenderedPageBreak/>
        <w:t>Volume Akar</w:t>
      </w:r>
      <w:r w:rsidRPr="007E0946">
        <w:rPr>
          <w:lang w:val="id-ID"/>
        </w:rPr>
        <w:t xml:space="preserve"> </w:t>
      </w:r>
      <w:r w:rsidRPr="007E0946">
        <w:rPr>
          <w:b/>
        </w:rPr>
        <w:t>(cm</w:t>
      </w:r>
      <w:r w:rsidRPr="007E0946">
        <w:rPr>
          <w:b/>
          <w:vertAlign w:val="superscript"/>
        </w:rPr>
        <w:t>3</w:t>
      </w:r>
      <w:r w:rsidRPr="007E0946">
        <w:rPr>
          <w:b/>
        </w:rPr>
        <w:t>)</w:t>
      </w:r>
    </w:p>
    <w:p w:rsidR="00AB63DA" w:rsidRDefault="00AB63DA" w:rsidP="00994DE5">
      <w:pPr>
        <w:ind w:firstLine="709"/>
        <w:jc w:val="both"/>
      </w:pPr>
      <w:r>
        <w:t xml:space="preserve">Hasil </w:t>
      </w:r>
      <w:r w:rsidR="006C763C">
        <w:t>a</w:t>
      </w:r>
      <w:r>
        <w:t xml:space="preserve">nalisis </w:t>
      </w:r>
      <w:r w:rsidR="006C763C">
        <w:t>keragaman</w:t>
      </w:r>
      <w:r w:rsidR="00C07C45">
        <w:t xml:space="preserve"> volume akar </w:t>
      </w:r>
      <w:r>
        <w:t xml:space="preserve">menyatakan bahwa </w:t>
      </w:r>
      <w:r w:rsidR="009C73F6">
        <w:t xml:space="preserve">pemberian </w:t>
      </w:r>
      <w:r w:rsidR="009C73F6">
        <w:rPr>
          <w:i/>
        </w:rPr>
        <w:t>G. virens</w:t>
      </w:r>
      <w:r w:rsidR="00C832A2">
        <w:t xml:space="preserve"> </w:t>
      </w:r>
      <w:r w:rsidR="009C73F6">
        <w:t>berpengaruh tidak nyata demikian juga dengan</w:t>
      </w:r>
      <w:r>
        <w:t xml:space="preserve"> interaksi perlakuan. </w:t>
      </w:r>
      <w:r w:rsidR="00C07C45">
        <w:t xml:space="preserve">Namun, pemberian </w:t>
      </w:r>
      <w:r w:rsidR="00C07C45">
        <w:rPr>
          <w:i/>
        </w:rPr>
        <w:t xml:space="preserve">A. niger </w:t>
      </w:r>
      <w:r w:rsidR="00C07C45">
        <w:t xml:space="preserve">berpengaruh nyata terhadap volume akar. </w:t>
      </w:r>
      <w:r w:rsidR="00A1465E">
        <w:t xml:space="preserve">Adapun </w:t>
      </w:r>
      <w:r w:rsidR="00735B77">
        <w:t xml:space="preserve">uji BNJ 5% </w:t>
      </w:r>
      <w:r>
        <w:t>terhadap volume akar dapat dilihat pada T</w:t>
      </w:r>
      <w:r w:rsidRPr="003749D9">
        <w:rPr>
          <w:lang w:val="id-ID"/>
        </w:rPr>
        <w:t xml:space="preserve">abel </w:t>
      </w:r>
      <w:r w:rsidR="005950EF">
        <w:t>1</w:t>
      </w:r>
      <w:r w:rsidRPr="003749D9">
        <w:rPr>
          <w:lang w:val="id-ID"/>
        </w:rPr>
        <w:t xml:space="preserve"> </w:t>
      </w:r>
      <w:r w:rsidRPr="003749D9">
        <w:t>di bawah ini</w:t>
      </w:r>
      <w:r>
        <w:t>.</w:t>
      </w:r>
    </w:p>
    <w:p w:rsidR="00735B77" w:rsidRDefault="00AB63DA" w:rsidP="00735B77">
      <w:pPr>
        <w:ind w:firstLine="360"/>
        <w:jc w:val="both"/>
      </w:pPr>
      <w:r w:rsidRPr="00E55F50">
        <w:t xml:space="preserve">Tabel </w:t>
      </w:r>
      <w:r w:rsidR="005950EF">
        <w:t>1</w:t>
      </w:r>
      <w:r>
        <w:t xml:space="preserve">. </w:t>
      </w:r>
      <w:r w:rsidR="00735B77" w:rsidRPr="00380E5C">
        <w:t>Hasil Uji BNJ</w:t>
      </w:r>
      <w:r w:rsidR="00735B77" w:rsidRPr="00380E5C">
        <w:rPr>
          <w:vertAlign w:val="subscript"/>
        </w:rPr>
        <w:t>0,05</w:t>
      </w:r>
      <w:r w:rsidR="00735B77" w:rsidRPr="00380E5C">
        <w:t xml:space="preserve"> Pengaruh Inokulasi Kapang </w:t>
      </w:r>
      <w:r w:rsidR="00735B77" w:rsidRPr="00380E5C">
        <w:rPr>
          <w:i/>
        </w:rPr>
        <w:t xml:space="preserve">A. niger </w:t>
      </w:r>
      <w:r w:rsidR="00735B77" w:rsidRPr="00380E5C">
        <w:t xml:space="preserve">dan </w:t>
      </w:r>
      <w:r w:rsidR="00735B77" w:rsidRPr="00380E5C">
        <w:rPr>
          <w:i/>
        </w:rPr>
        <w:t xml:space="preserve">G. virens </w:t>
      </w:r>
      <w:r w:rsidR="00735B77" w:rsidRPr="00380E5C">
        <w:t>Terhadap Volume Akar (cm</w:t>
      </w:r>
      <w:r w:rsidR="00735B77" w:rsidRPr="00380E5C">
        <w:rPr>
          <w:vertAlign w:val="superscript"/>
        </w:rPr>
        <w:t>3</w:t>
      </w:r>
      <w:r w:rsidR="00735B77" w:rsidRPr="00380E5C">
        <w:t>)</w:t>
      </w:r>
    </w:p>
    <w:tbl>
      <w:tblPr>
        <w:tblW w:w="3510" w:type="dxa"/>
        <w:tblInd w:w="108" w:type="dxa"/>
        <w:tblLook w:val="04A0"/>
      </w:tblPr>
      <w:tblGrid>
        <w:gridCol w:w="1800"/>
        <w:gridCol w:w="1710"/>
      </w:tblGrid>
      <w:tr w:rsidR="00BB480C" w:rsidRPr="007C7571" w:rsidTr="009C73F6">
        <w:trPr>
          <w:trHeight w:val="134"/>
        </w:trPr>
        <w:tc>
          <w:tcPr>
            <w:tcW w:w="1800" w:type="dxa"/>
            <w:tcBorders>
              <w:top w:val="single" w:sz="4" w:space="0" w:color="auto"/>
              <w:left w:val="nil"/>
              <w:bottom w:val="single" w:sz="4" w:space="0" w:color="auto"/>
              <w:right w:val="nil"/>
            </w:tcBorders>
            <w:shd w:val="clear" w:color="000000" w:fill="FFFFFF"/>
            <w:noWrap/>
            <w:vAlign w:val="bottom"/>
            <w:hideMark/>
          </w:tcPr>
          <w:p w:rsidR="00BB480C" w:rsidRPr="007C7571" w:rsidRDefault="00BB480C" w:rsidP="00750ED5">
            <w:pPr>
              <w:jc w:val="center"/>
              <w:rPr>
                <w:b/>
                <w:color w:val="000000"/>
              </w:rPr>
            </w:pPr>
            <w:r w:rsidRPr="007C7571">
              <w:rPr>
                <w:b/>
                <w:color w:val="000000"/>
              </w:rPr>
              <w:t>Perlakuan</w:t>
            </w:r>
          </w:p>
        </w:tc>
        <w:tc>
          <w:tcPr>
            <w:tcW w:w="1710" w:type="dxa"/>
            <w:tcBorders>
              <w:top w:val="single" w:sz="4" w:space="0" w:color="auto"/>
              <w:left w:val="nil"/>
              <w:bottom w:val="single" w:sz="4" w:space="0" w:color="auto"/>
              <w:right w:val="nil"/>
            </w:tcBorders>
            <w:shd w:val="clear" w:color="000000" w:fill="FFFFFF"/>
            <w:noWrap/>
            <w:vAlign w:val="bottom"/>
            <w:hideMark/>
          </w:tcPr>
          <w:p w:rsidR="00BB480C" w:rsidRPr="007C7571" w:rsidRDefault="00BB480C" w:rsidP="00750ED5">
            <w:pPr>
              <w:jc w:val="center"/>
              <w:rPr>
                <w:b/>
                <w:color w:val="000000"/>
              </w:rPr>
            </w:pPr>
            <w:r w:rsidRPr="007C7571">
              <w:rPr>
                <w:b/>
                <w:color w:val="000000"/>
              </w:rPr>
              <w:t>Rerata</w:t>
            </w:r>
          </w:p>
        </w:tc>
      </w:tr>
      <w:tr w:rsidR="00A80453" w:rsidRPr="007C7571" w:rsidTr="00750ED5">
        <w:trPr>
          <w:trHeight w:val="70"/>
        </w:trPr>
        <w:tc>
          <w:tcPr>
            <w:tcW w:w="1800" w:type="dxa"/>
            <w:tcBorders>
              <w:top w:val="nil"/>
              <w:left w:val="nil"/>
              <w:bottom w:val="nil"/>
              <w:right w:val="nil"/>
            </w:tcBorders>
            <w:shd w:val="clear" w:color="000000" w:fill="FFFFFF"/>
            <w:noWrap/>
            <w:vAlign w:val="bottom"/>
            <w:hideMark/>
          </w:tcPr>
          <w:p w:rsidR="00A80453" w:rsidRPr="007C7571" w:rsidRDefault="00A80453" w:rsidP="00F237F1">
            <w:pPr>
              <w:jc w:val="center"/>
              <w:rPr>
                <w:color w:val="000000"/>
              </w:rPr>
            </w:pPr>
            <w:r>
              <w:rPr>
                <w:color w:val="000000"/>
              </w:rPr>
              <w:t>a</w:t>
            </w:r>
            <w:r w:rsidRPr="007C7571">
              <w:rPr>
                <w:color w:val="000000"/>
                <w:vertAlign w:val="subscript"/>
              </w:rPr>
              <w:t>2</w:t>
            </w:r>
          </w:p>
        </w:tc>
        <w:tc>
          <w:tcPr>
            <w:tcW w:w="1710" w:type="dxa"/>
            <w:tcBorders>
              <w:top w:val="nil"/>
              <w:left w:val="nil"/>
              <w:bottom w:val="nil"/>
              <w:right w:val="nil"/>
            </w:tcBorders>
            <w:shd w:val="clear" w:color="000000" w:fill="FFFFFF"/>
            <w:noWrap/>
            <w:vAlign w:val="bottom"/>
            <w:hideMark/>
          </w:tcPr>
          <w:p w:rsidR="00A80453" w:rsidRPr="007C7571" w:rsidRDefault="00A80453" w:rsidP="00F237F1">
            <w:pPr>
              <w:rPr>
                <w:color w:val="000000"/>
              </w:rPr>
            </w:pPr>
            <w:r>
              <w:rPr>
                <w:color w:val="000000"/>
              </w:rPr>
              <w:t xml:space="preserve">      40.42</w:t>
            </w:r>
            <w:r w:rsidRPr="007C7571">
              <w:rPr>
                <w:color w:val="000000"/>
              </w:rPr>
              <w:t>a</w:t>
            </w:r>
          </w:p>
        </w:tc>
      </w:tr>
      <w:tr w:rsidR="00A80453" w:rsidRPr="007C7571" w:rsidTr="00750ED5">
        <w:trPr>
          <w:trHeight w:val="80"/>
        </w:trPr>
        <w:tc>
          <w:tcPr>
            <w:tcW w:w="1800" w:type="dxa"/>
            <w:tcBorders>
              <w:top w:val="nil"/>
              <w:left w:val="nil"/>
              <w:bottom w:val="nil"/>
              <w:right w:val="nil"/>
            </w:tcBorders>
            <w:shd w:val="clear" w:color="000000" w:fill="FFFFFF"/>
            <w:noWrap/>
            <w:vAlign w:val="bottom"/>
            <w:hideMark/>
          </w:tcPr>
          <w:p w:rsidR="00A80453" w:rsidRPr="007C7571" w:rsidRDefault="00A80453" w:rsidP="00F237F1">
            <w:pPr>
              <w:jc w:val="center"/>
              <w:rPr>
                <w:color w:val="000000"/>
              </w:rPr>
            </w:pPr>
            <w:r>
              <w:rPr>
                <w:color w:val="000000"/>
              </w:rPr>
              <w:t>a</w:t>
            </w:r>
            <w:r w:rsidRPr="007C7571">
              <w:rPr>
                <w:color w:val="000000"/>
                <w:vertAlign w:val="subscript"/>
              </w:rPr>
              <w:t>1</w:t>
            </w:r>
          </w:p>
        </w:tc>
        <w:tc>
          <w:tcPr>
            <w:tcW w:w="1710" w:type="dxa"/>
            <w:tcBorders>
              <w:top w:val="nil"/>
              <w:left w:val="nil"/>
              <w:bottom w:val="nil"/>
              <w:right w:val="nil"/>
            </w:tcBorders>
            <w:shd w:val="clear" w:color="000000" w:fill="FFFFFF"/>
            <w:noWrap/>
            <w:vAlign w:val="bottom"/>
            <w:hideMark/>
          </w:tcPr>
          <w:p w:rsidR="00A80453" w:rsidRPr="007C7571" w:rsidRDefault="00A80453" w:rsidP="00F237F1">
            <w:pPr>
              <w:rPr>
                <w:color w:val="000000"/>
              </w:rPr>
            </w:pPr>
            <w:r>
              <w:rPr>
                <w:color w:val="000000"/>
              </w:rPr>
              <w:t xml:space="preserve">      41.67</w:t>
            </w:r>
            <w:r w:rsidRPr="007C7571">
              <w:rPr>
                <w:color w:val="000000"/>
              </w:rPr>
              <w:t>ab</w:t>
            </w:r>
          </w:p>
        </w:tc>
      </w:tr>
      <w:tr w:rsidR="00A80453" w:rsidRPr="007C7571" w:rsidTr="00750ED5">
        <w:trPr>
          <w:trHeight w:val="80"/>
        </w:trPr>
        <w:tc>
          <w:tcPr>
            <w:tcW w:w="1800" w:type="dxa"/>
            <w:tcBorders>
              <w:top w:val="nil"/>
              <w:left w:val="nil"/>
              <w:bottom w:val="nil"/>
              <w:right w:val="nil"/>
            </w:tcBorders>
            <w:shd w:val="clear" w:color="000000" w:fill="FFFFFF"/>
            <w:noWrap/>
            <w:vAlign w:val="bottom"/>
            <w:hideMark/>
          </w:tcPr>
          <w:p w:rsidR="00A80453" w:rsidRPr="007C7571" w:rsidRDefault="00A80453" w:rsidP="00F237F1">
            <w:pPr>
              <w:jc w:val="center"/>
              <w:rPr>
                <w:color w:val="000000"/>
              </w:rPr>
            </w:pPr>
            <w:r>
              <w:rPr>
                <w:color w:val="000000"/>
              </w:rPr>
              <w:t>a</w:t>
            </w:r>
            <w:r w:rsidRPr="007C7571">
              <w:rPr>
                <w:color w:val="000000"/>
                <w:vertAlign w:val="subscript"/>
              </w:rPr>
              <w:t>3</w:t>
            </w:r>
          </w:p>
        </w:tc>
        <w:tc>
          <w:tcPr>
            <w:tcW w:w="1710" w:type="dxa"/>
            <w:tcBorders>
              <w:top w:val="nil"/>
              <w:left w:val="nil"/>
              <w:bottom w:val="nil"/>
              <w:right w:val="nil"/>
            </w:tcBorders>
            <w:shd w:val="clear" w:color="000000" w:fill="FFFFFF"/>
            <w:noWrap/>
            <w:vAlign w:val="bottom"/>
            <w:hideMark/>
          </w:tcPr>
          <w:p w:rsidR="00A80453" w:rsidRPr="007C7571" w:rsidRDefault="00A80453" w:rsidP="00F237F1">
            <w:pPr>
              <w:rPr>
                <w:color w:val="000000"/>
              </w:rPr>
            </w:pPr>
            <w:r>
              <w:rPr>
                <w:color w:val="000000"/>
              </w:rPr>
              <w:t xml:space="preserve">      45.83</w:t>
            </w:r>
            <w:r w:rsidRPr="007C7571">
              <w:rPr>
                <w:color w:val="000000"/>
              </w:rPr>
              <w:t>ab</w:t>
            </w:r>
          </w:p>
        </w:tc>
      </w:tr>
      <w:tr w:rsidR="00A80453" w:rsidRPr="007C7571" w:rsidTr="00750ED5">
        <w:trPr>
          <w:trHeight w:val="80"/>
        </w:trPr>
        <w:tc>
          <w:tcPr>
            <w:tcW w:w="1800" w:type="dxa"/>
            <w:tcBorders>
              <w:top w:val="nil"/>
              <w:left w:val="nil"/>
              <w:bottom w:val="nil"/>
              <w:right w:val="nil"/>
            </w:tcBorders>
            <w:shd w:val="clear" w:color="000000" w:fill="FFFFFF"/>
            <w:noWrap/>
            <w:vAlign w:val="bottom"/>
            <w:hideMark/>
          </w:tcPr>
          <w:p w:rsidR="00A80453" w:rsidRPr="007C7571" w:rsidRDefault="00A80453" w:rsidP="00F237F1">
            <w:pPr>
              <w:jc w:val="center"/>
              <w:rPr>
                <w:color w:val="000000"/>
              </w:rPr>
            </w:pPr>
            <w:r>
              <w:rPr>
                <w:color w:val="000000"/>
              </w:rPr>
              <w:t>a</w:t>
            </w:r>
            <w:r w:rsidRPr="007C7571">
              <w:rPr>
                <w:color w:val="000000"/>
                <w:vertAlign w:val="subscript"/>
              </w:rPr>
              <w:t>4</w:t>
            </w:r>
          </w:p>
        </w:tc>
        <w:tc>
          <w:tcPr>
            <w:tcW w:w="1710" w:type="dxa"/>
            <w:tcBorders>
              <w:top w:val="nil"/>
              <w:left w:val="nil"/>
              <w:bottom w:val="nil"/>
              <w:right w:val="nil"/>
            </w:tcBorders>
            <w:shd w:val="clear" w:color="000000" w:fill="FFFFFF"/>
            <w:noWrap/>
            <w:vAlign w:val="bottom"/>
            <w:hideMark/>
          </w:tcPr>
          <w:p w:rsidR="00A80453" w:rsidRPr="007C7571" w:rsidRDefault="00A80453" w:rsidP="00F237F1">
            <w:pPr>
              <w:rPr>
                <w:color w:val="000000"/>
              </w:rPr>
            </w:pPr>
            <w:r>
              <w:rPr>
                <w:color w:val="000000"/>
              </w:rPr>
              <w:t xml:space="preserve">      61.25</w:t>
            </w:r>
            <w:r w:rsidRPr="007C7571">
              <w:rPr>
                <w:color w:val="000000"/>
              </w:rPr>
              <w:t>c</w:t>
            </w:r>
          </w:p>
        </w:tc>
      </w:tr>
      <w:tr w:rsidR="00BB480C" w:rsidRPr="007C7571" w:rsidTr="00750ED5">
        <w:trPr>
          <w:trHeight w:val="70"/>
        </w:trPr>
        <w:tc>
          <w:tcPr>
            <w:tcW w:w="1800" w:type="dxa"/>
            <w:tcBorders>
              <w:top w:val="single" w:sz="4" w:space="0" w:color="auto"/>
              <w:left w:val="nil"/>
              <w:bottom w:val="single" w:sz="4" w:space="0" w:color="auto"/>
              <w:right w:val="nil"/>
            </w:tcBorders>
            <w:shd w:val="clear" w:color="000000" w:fill="FFFFFF"/>
            <w:noWrap/>
            <w:vAlign w:val="bottom"/>
            <w:hideMark/>
          </w:tcPr>
          <w:p w:rsidR="00BB480C" w:rsidRPr="007C7571" w:rsidRDefault="00BB480C" w:rsidP="00750ED5">
            <w:pPr>
              <w:rPr>
                <w:b/>
                <w:color w:val="000000"/>
              </w:rPr>
            </w:pPr>
            <w:r w:rsidRPr="007C7571">
              <w:rPr>
                <w:b/>
                <w:color w:val="000000"/>
              </w:rPr>
              <w:t>BNJ 5 %</w:t>
            </w:r>
          </w:p>
        </w:tc>
        <w:tc>
          <w:tcPr>
            <w:tcW w:w="1710" w:type="dxa"/>
            <w:tcBorders>
              <w:top w:val="single" w:sz="4" w:space="0" w:color="auto"/>
              <w:left w:val="nil"/>
              <w:bottom w:val="single" w:sz="4" w:space="0" w:color="auto"/>
              <w:right w:val="nil"/>
            </w:tcBorders>
            <w:shd w:val="clear" w:color="000000" w:fill="FFFFFF"/>
            <w:noWrap/>
            <w:vAlign w:val="bottom"/>
            <w:hideMark/>
          </w:tcPr>
          <w:p w:rsidR="00BB480C" w:rsidRPr="007C7571" w:rsidRDefault="00A80453" w:rsidP="00A80453">
            <w:pPr>
              <w:rPr>
                <w:b/>
                <w:color w:val="000000"/>
              </w:rPr>
            </w:pPr>
            <w:r>
              <w:rPr>
                <w:b/>
                <w:color w:val="000000"/>
              </w:rPr>
              <w:t xml:space="preserve">      </w:t>
            </w:r>
            <w:r w:rsidR="00BB480C" w:rsidRPr="007C7571">
              <w:rPr>
                <w:b/>
                <w:color w:val="000000"/>
              </w:rPr>
              <w:t>25.22</w:t>
            </w:r>
          </w:p>
        </w:tc>
      </w:tr>
    </w:tbl>
    <w:p w:rsidR="00467B52" w:rsidRDefault="00AB63DA" w:rsidP="00F1566E">
      <w:pPr>
        <w:jc w:val="both"/>
        <w:rPr>
          <w:b/>
          <w:sz w:val="20"/>
          <w:szCs w:val="20"/>
        </w:rPr>
      </w:pPr>
      <w:r w:rsidRPr="00735B77">
        <w:rPr>
          <w:b/>
          <w:sz w:val="20"/>
          <w:szCs w:val="20"/>
          <w:lang w:val="id-ID"/>
        </w:rPr>
        <w:t>Keterangan</w:t>
      </w:r>
      <w:r w:rsidR="00467B52">
        <w:rPr>
          <w:b/>
          <w:sz w:val="20"/>
          <w:szCs w:val="20"/>
        </w:rPr>
        <w:t xml:space="preserve"> </w:t>
      </w:r>
      <w:r w:rsidRPr="00735B77">
        <w:rPr>
          <w:b/>
          <w:sz w:val="20"/>
          <w:szCs w:val="20"/>
          <w:lang w:val="id-ID"/>
        </w:rPr>
        <w:t>:</w:t>
      </w:r>
      <w:r w:rsidR="00380E5C" w:rsidRPr="00735B77">
        <w:rPr>
          <w:b/>
          <w:sz w:val="20"/>
          <w:szCs w:val="20"/>
        </w:rPr>
        <w:t xml:space="preserve"> </w:t>
      </w:r>
    </w:p>
    <w:p w:rsidR="00467B52" w:rsidRDefault="00AB63DA" w:rsidP="00380E5C">
      <w:pPr>
        <w:jc w:val="both"/>
        <w:rPr>
          <w:sz w:val="20"/>
          <w:szCs w:val="20"/>
        </w:rPr>
      </w:pPr>
      <w:r w:rsidRPr="00735B77">
        <w:rPr>
          <w:sz w:val="20"/>
          <w:szCs w:val="20"/>
          <w:lang w:val="id-ID"/>
        </w:rPr>
        <w:t>Angka yang diikuti huruf yang sama menunjukkan berbeda tidak nyata</w:t>
      </w:r>
      <w:r w:rsidRPr="00735B77">
        <w:rPr>
          <w:sz w:val="20"/>
          <w:szCs w:val="20"/>
        </w:rPr>
        <w:t xml:space="preserve"> pada uji BNJ taraf 5 %.</w:t>
      </w:r>
    </w:p>
    <w:p w:rsidR="00D52C0B" w:rsidRPr="00A73A20" w:rsidRDefault="00D52C0B" w:rsidP="00380E5C">
      <w:pPr>
        <w:jc w:val="both"/>
        <w:rPr>
          <w:sz w:val="20"/>
          <w:szCs w:val="20"/>
        </w:rPr>
      </w:pPr>
    </w:p>
    <w:p w:rsidR="00AB63DA" w:rsidRPr="007E0946" w:rsidRDefault="00AB63DA" w:rsidP="000469D1">
      <w:pPr>
        <w:pStyle w:val="ListParagraph"/>
        <w:numPr>
          <w:ilvl w:val="0"/>
          <w:numId w:val="27"/>
        </w:numPr>
        <w:ind w:left="720"/>
        <w:jc w:val="both"/>
        <w:rPr>
          <w:b/>
          <w:sz w:val="32"/>
        </w:rPr>
      </w:pPr>
      <w:r w:rsidRPr="007E0946">
        <w:rPr>
          <w:b/>
        </w:rPr>
        <w:t>Serapan  Hara P Tanaman (</w:t>
      </w:r>
      <w:r>
        <w:rPr>
          <w:b/>
        </w:rPr>
        <w:t>ppm</w:t>
      </w:r>
      <w:r w:rsidRPr="007E0946">
        <w:rPr>
          <w:b/>
        </w:rPr>
        <w:t>)</w:t>
      </w:r>
    </w:p>
    <w:p w:rsidR="00467B52" w:rsidRDefault="00680480" w:rsidP="00F2162B">
      <w:pPr>
        <w:ind w:firstLine="709"/>
        <w:jc w:val="both"/>
      </w:pPr>
      <w:r>
        <w:t>Hasil a</w:t>
      </w:r>
      <w:r w:rsidR="00AB63DA">
        <w:t xml:space="preserve">nalisis </w:t>
      </w:r>
      <w:r>
        <w:t>k</w:t>
      </w:r>
      <w:r w:rsidR="00AB63DA">
        <w:t xml:space="preserve">eragaman Serapan P Tanaman menyatakan bahwa pemberian </w:t>
      </w:r>
      <w:r w:rsidR="00AB63DA">
        <w:rPr>
          <w:i/>
        </w:rPr>
        <w:t>G. virens</w:t>
      </w:r>
      <w:r w:rsidR="00AB63DA">
        <w:t xml:space="preserve"> berpengaruh tidak nyata </w:t>
      </w:r>
      <w:r>
        <w:t xml:space="preserve">terhadap serapan P tanaman </w:t>
      </w:r>
      <w:r w:rsidR="00AB63DA">
        <w:t>dan tidak terdapat interaksi dari kedua kapang tersebut</w:t>
      </w:r>
      <w:r w:rsidR="00EA51A4">
        <w:t xml:space="preserve">, namun pemberian </w:t>
      </w:r>
      <w:r w:rsidR="00EA51A4">
        <w:rPr>
          <w:i/>
        </w:rPr>
        <w:t xml:space="preserve">A. niger </w:t>
      </w:r>
      <w:r w:rsidR="00EA51A4">
        <w:t xml:space="preserve">berpengaruh nyata terhadap serapan P tanaman. </w:t>
      </w:r>
      <w:r w:rsidR="00864660">
        <w:t xml:space="preserve">Hasil uji BNJ 5% </w:t>
      </w:r>
      <w:r w:rsidR="00AB63DA">
        <w:t xml:space="preserve">tersaji </w:t>
      </w:r>
      <w:r w:rsidR="00864660">
        <w:t xml:space="preserve">pada </w:t>
      </w:r>
      <w:r w:rsidR="00AB63DA" w:rsidRPr="003749D9">
        <w:t xml:space="preserve">Tabel </w:t>
      </w:r>
      <w:r w:rsidR="00864660">
        <w:t>2</w:t>
      </w:r>
      <w:r w:rsidR="00AB63DA">
        <w:t xml:space="preserve"> berikut. </w:t>
      </w:r>
    </w:p>
    <w:p w:rsidR="00AB63DA" w:rsidRDefault="00AB63DA" w:rsidP="00467B52">
      <w:pPr>
        <w:ind w:firstLine="360"/>
        <w:jc w:val="both"/>
        <w:rPr>
          <w:color w:val="000000"/>
          <w:lang w:eastAsia="id-ID"/>
        </w:rPr>
      </w:pPr>
      <w:r w:rsidRPr="004B686F">
        <w:rPr>
          <w:lang w:val="id-ID"/>
        </w:rPr>
        <w:t xml:space="preserve">Tabel </w:t>
      </w:r>
      <w:r w:rsidR="00467B52">
        <w:t>2</w:t>
      </w:r>
      <w:r w:rsidRPr="004B686F">
        <w:rPr>
          <w:lang w:val="id-ID"/>
        </w:rPr>
        <w:t>.</w:t>
      </w:r>
      <w:r w:rsidRPr="004B686F">
        <w:t xml:space="preserve"> </w:t>
      </w:r>
      <w:r w:rsidR="00467B52" w:rsidRPr="00E55F50">
        <w:t>Hasil Uji BNJ</w:t>
      </w:r>
      <w:r w:rsidR="00467B52" w:rsidRPr="00E55F50">
        <w:rPr>
          <w:vertAlign w:val="subscript"/>
        </w:rPr>
        <w:t>0,05</w:t>
      </w:r>
      <w:r w:rsidR="00467B52" w:rsidRPr="00E55F50">
        <w:t xml:space="preserve"> Pengaruh Inokulasi Kapang </w:t>
      </w:r>
      <w:r w:rsidR="00467B52" w:rsidRPr="00E55F50">
        <w:rPr>
          <w:i/>
        </w:rPr>
        <w:t>A</w:t>
      </w:r>
      <w:r w:rsidR="00467B52">
        <w:rPr>
          <w:i/>
        </w:rPr>
        <w:t xml:space="preserve">. </w:t>
      </w:r>
      <w:r w:rsidR="00467B52" w:rsidRPr="00E55F50">
        <w:rPr>
          <w:i/>
        </w:rPr>
        <w:t xml:space="preserve">niger </w:t>
      </w:r>
      <w:r w:rsidR="00467B52" w:rsidRPr="00E55F50">
        <w:t xml:space="preserve">dan </w:t>
      </w:r>
      <w:r w:rsidR="00467B52" w:rsidRPr="00E55F50">
        <w:rPr>
          <w:i/>
        </w:rPr>
        <w:t>G</w:t>
      </w:r>
      <w:r w:rsidR="00467B52">
        <w:rPr>
          <w:i/>
        </w:rPr>
        <w:t>.</w:t>
      </w:r>
      <w:r w:rsidR="00467B52" w:rsidRPr="00E55F50">
        <w:rPr>
          <w:i/>
        </w:rPr>
        <w:t xml:space="preserve"> virens </w:t>
      </w:r>
      <w:r w:rsidR="00467B52" w:rsidRPr="00E55F50">
        <w:t xml:space="preserve">Terhadap </w:t>
      </w:r>
      <w:r w:rsidR="00467B52" w:rsidRPr="004B686F">
        <w:rPr>
          <w:color w:val="000000"/>
          <w:lang w:eastAsia="id-ID"/>
        </w:rPr>
        <w:t>Serapan P Tanaman</w:t>
      </w:r>
    </w:p>
    <w:tbl>
      <w:tblPr>
        <w:tblW w:w="3510" w:type="dxa"/>
        <w:tblInd w:w="108" w:type="dxa"/>
        <w:tblLook w:val="04A0"/>
      </w:tblPr>
      <w:tblGrid>
        <w:gridCol w:w="1800"/>
        <w:gridCol w:w="1710"/>
      </w:tblGrid>
      <w:tr w:rsidR="000B4040" w:rsidRPr="007B1ECD" w:rsidTr="00750ED5">
        <w:trPr>
          <w:trHeight w:val="70"/>
        </w:trPr>
        <w:tc>
          <w:tcPr>
            <w:tcW w:w="1800" w:type="dxa"/>
            <w:tcBorders>
              <w:top w:val="single" w:sz="4" w:space="0" w:color="auto"/>
              <w:left w:val="nil"/>
              <w:bottom w:val="single" w:sz="4" w:space="0" w:color="auto"/>
              <w:right w:val="nil"/>
            </w:tcBorders>
            <w:shd w:val="clear" w:color="auto" w:fill="auto"/>
            <w:noWrap/>
            <w:vAlign w:val="bottom"/>
            <w:hideMark/>
          </w:tcPr>
          <w:p w:rsidR="000B4040" w:rsidRPr="007B1ECD" w:rsidRDefault="000B4040" w:rsidP="00750ED5">
            <w:pPr>
              <w:jc w:val="center"/>
              <w:rPr>
                <w:b/>
                <w:color w:val="000000"/>
              </w:rPr>
            </w:pPr>
            <w:r w:rsidRPr="007B1ECD">
              <w:rPr>
                <w:b/>
                <w:color w:val="000000"/>
              </w:rPr>
              <w:t>Perlakuan</w:t>
            </w:r>
          </w:p>
        </w:tc>
        <w:tc>
          <w:tcPr>
            <w:tcW w:w="1710" w:type="dxa"/>
            <w:tcBorders>
              <w:top w:val="single" w:sz="4" w:space="0" w:color="auto"/>
              <w:left w:val="nil"/>
              <w:bottom w:val="single" w:sz="4" w:space="0" w:color="auto"/>
              <w:right w:val="nil"/>
            </w:tcBorders>
            <w:shd w:val="clear" w:color="auto" w:fill="auto"/>
            <w:noWrap/>
            <w:vAlign w:val="bottom"/>
            <w:hideMark/>
          </w:tcPr>
          <w:p w:rsidR="000B4040" w:rsidRPr="007B1ECD" w:rsidRDefault="000B4040" w:rsidP="00750ED5">
            <w:pPr>
              <w:jc w:val="center"/>
              <w:rPr>
                <w:b/>
                <w:color w:val="000000"/>
              </w:rPr>
            </w:pPr>
            <w:r w:rsidRPr="007B1ECD">
              <w:rPr>
                <w:b/>
                <w:color w:val="000000"/>
              </w:rPr>
              <w:t>Rerata</w:t>
            </w:r>
          </w:p>
        </w:tc>
      </w:tr>
      <w:tr w:rsidR="00F027EF" w:rsidRPr="007B1ECD" w:rsidTr="00750ED5">
        <w:trPr>
          <w:trHeight w:val="70"/>
        </w:trPr>
        <w:tc>
          <w:tcPr>
            <w:tcW w:w="1800" w:type="dxa"/>
            <w:tcBorders>
              <w:top w:val="nil"/>
              <w:left w:val="nil"/>
              <w:bottom w:val="nil"/>
              <w:right w:val="nil"/>
            </w:tcBorders>
            <w:shd w:val="clear" w:color="auto" w:fill="auto"/>
            <w:noWrap/>
            <w:vAlign w:val="bottom"/>
            <w:hideMark/>
          </w:tcPr>
          <w:p w:rsidR="00F027EF" w:rsidRPr="007B1ECD" w:rsidRDefault="00F027EF" w:rsidP="00F237F1">
            <w:pPr>
              <w:jc w:val="center"/>
              <w:rPr>
                <w:color w:val="000000"/>
              </w:rPr>
            </w:pPr>
            <w:r w:rsidRPr="007B1ECD">
              <w:rPr>
                <w:color w:val="000000"/>
              </w:rPr>
              <w:t>a</w:t>
            </w:r>
            <w:r w:rsidRPr="007B1ECD">
              <w:rPr>
                <w:color w:val="000000"/>
                <w:vertAlign w:val="subscript"/>
              </w:rPr>
              <w:t>2</w:t>
            </w:r>
          </w:p>
        </w:tc>
        <w:tc>
          <w:tcPr>
            <w:tcW w:w="1710" w:type="dxa"/>
            <w:tcBorders>
              <w:top w:val="nil"/>
              <w:left w:val="nil"/>
              <w:bottom w:val="nil"/>
              <w:right w:val="nil"/>
            </w:tcBorders>
            <w:shd w:val="clear" w:color="auto" w:fill="auto"/>
            <w:noWrap/>
            <w:vAlign w:val="bottom"/>
            <w:hideMark/>
          </w:tcPr>
          <w:p w:rsidR="00F027EF" w:rsidRPr="007B1ECD" w:rsidRDefault="00F027EF" w:rsidP="00F237F1">
            <w:pPr>
              <w:rPr>
                <w:color w:val="000000"/>
              </w:rPr>
            </w:pPr>
            <w:r>
              <w:rPr>
                <w:color w:val="000000"/>
              </w:rPr>
              <w:t xml:space="preserve">      </w:t>
            </w:r>
            <w:r w:rsidRPr="007B1ECD">
              <w:rPr>
                <w:color w:val="000000"/>
              </w:rPr>
              <w:t>26.57</w:t>
            </w:r>
            <w:r>
              <w:rPr>
                <w:color w:val="000000"/>
              </w:rPr>
              <w:t>a</w:t>
            </w:r>
          </w:p>
        </w:tc>
      </w:tr>
      <w:tr w:rsidR="00F027EF" w:rsidRPr="007B1ECD" w:rsidTr="00750ED5">
        <w:trPr>
          <w:trHeight w:val="80"/>
        </w:trPr>
        <w:tc>
          <w:tcPr>
            <w:tcW w:w="1800" w:type="dxa"/>
            <w:tcBorders>
              <w:top w:val="nil"/>
              <w:left w:val="nil"/>
              <w:bottom w:val="nil"/>
              <w:right w:val="nil"/>
            </w:tcBorders>
            <w:shd w:val="clear" w:color="auto" w:fill="auto"/>
            <w:noWrap/>
            <w:vAlign w:val="bottom"/>
            <w:hideMark/>
          </w:tcPr>
          <w:p w:rsidR="00F027EF" w:rsidRPr="007B1ECD" w:rsidRDefault="00F027EF" w:rsidP="00F237F1">
            <w:pPr>
              <w:jc w:val="center"/>
              <w:rPr>
                <w:color w:val="000000"/>
              </w:rPr>
            </w:pPr>
            <w:r w:rsidRPr="007B1ECD">
              <w:rPr>
                <w:color w:val="000000"/>
              </w:rPr>
              <w:t>a</w:t>
            </w:r>
            <w:r w:rsidRPr="007B1ECD">
              <w:rPr>
                <w:color w:val="000000"/>
                <w:vertAlign w:val="subscript"/>
              </w:rPr>
              <w:t>1</w:t>
            </w:r>
          </w:p>
        </w:tc>
        <w:tc>
          <w:tcPr>
            <w:tcW w:w="1710" w:type="dxa"/>
            <w:tcBorders>
              <w:top w:val="nil"/>
              <w:left w:val="nil"/>
              <w:bottom w:val="nil"/>
              <w:right w:val="nil"/>
            </w:tcBorders>
            <w:shd w:val="clear" w:color="auto" w:fill="auto"/>
            <w:noWrap/>
            <w:vAlign w:val="bottom"/>
            <w:hideMark/>
          </w:tcPr>
          <w:p w:rsidR="00F027EF" w:rsidRPr="007B1ECD" w:rsidRDefault="00F027EF" w:rsidP="00F237F1">
            <w:pPr>
              <w:rPr>
                <w:color w:val="000000"/>
              </w:rPr>
            </w:pPr>
            <w:r>
              <w:rPr>
                <w:color w:val="000000"/>
              </w:rPr>
              <w:t xml:space="preserve">      </w:t>
            </w:r>
            <w:r w:rsidRPr="007B1ECD">
              <w:rPr>
                <w:color w:val="000000"/>
              </w:rPr>
              <w:t>28.54</w:t>
            </w:r>
            <w:r>
              <w:rPr>
                <w:color w:val="000000"/>
              </w:rPr>
              <w:t>ab</w:t>
            </w:r>
          </w:p>
        </w:tc>
      </w:tr>
      <w:tr w:rsidR="00F027EF" w:rsidRPr="007B1ECD" w:rsidTr="00750ED5">
        <w:trPr>
          <w:trHeight w:val="80"/>
        </w:trPr>
        <w:tc>
          <w:tcPr>
            <w:tcW w:w="1800" w:type="dxa"/>
            <w:tcBorders>
              <w:top w:val="nil"/>
              <w:left w:val="nil"/>
              <w:bottom w:val="nil"/>
              <w:right w:val="nil"/>
            </w:tcBorders>
            <w:shd w:val="clear" w:color="auto" w:fill="auto"/>
            <w:noWrap/>
            <w:vAlign w:val="bottom"/>
            <w:hideMark/>
          </w:tcPr>
          <w:p w:rsidR="00F027EF" w:rsidRPr="007B1ECD" w:rsidRDefault="00F027EF" w:rsidP="00F237F1">
            <w:pPr>
              <w:jc w:val="center"/>
              <w:rPr>
                <w:color w:val="000000"/>
              </w:rPr>
            </w:pPr>
            <w:r w:rsidRPr="007B1ECD">
              <w:rPr>
                <w:color w:val="000000"/>
              </w:rPr>
              <w:t>a</w:t>
            </w:r>
            <w:r w:rsidRPr="007B1ECD">
              <w:rPr>
                <w:color w:val="000000"/>
                <w:vertAlign w:val="subscript"/>
              </w:rPr>
              <w:t>3</w:t>
            </w:r>
          </w:p>
        </w:tc>
        <w:tc>
          <w:tcPr>
            <w:tcW w:w="1710" w:type="dxa"/>
            <w:tcBorders>
              <w:top w:val="nil"/>
              <w:left w:val="nil"/>
              <w:bottom w:val="nil"/>
              <w:right w:val="nil"/>
            </w:tcBorders>
            <w:shd w:val="clear" w:color="auto" w:fill="auto"/>
            <w:noWrap/>
            <w:vAlign w:val="bottom"/>
            <w:hideMark/>
          </w:tcPr>
          <w:p w:rsidR="00F027EF" w:rsidRPr="007B1ECD" w:rsidRDefault="00F027EF" w:rsidP="00F237F1">
            <w:pPr>
              <w:rPr>
                <w:color w:val="000000"/>
              </w:rPr>
            </w:pPr>
            <w:r>
              <w:rPr>
                <w:color w:val="000000"/>
              </w:rPr>
              <w:t xml:space="preserve">      </w:t>
            </w:r>
            <w:r w:rsidRPr="007B1ECD">
              <w:rPr>
                <w:color w:val="000000"/>
              </w:rPr>
              <w:t>31.61</w:t>
            </w:r>
            <w:r>
              <w:rPr>
                <w:color w:val="000000"/>
              </w:rPr>
              <w:t>b</w:t>
            </w:r>
          </w:p>
        </w:tc>
      </w:tr>
      <w:tr w:rsidR="00F027EF" w:rsidRPr="007B1ECD" w:rsidTr="00750ED5">
        <w:trPr>
          <w:trHeight w:val="80"/>
        </w:trPr>
        <w:tc>
          <w:tcPr>
            <w:tcW w:w="1800" w:type="dxa"/>
            <w:tcBorders>
              <w:top w:val="nil"/>
              <w:left w:val="nil"/>
              <w:bottom w:val="single" w:sz="4" w:space="0" w:color="auto"/>
              <w:right w:val="nil"/>
            </w:tcBorders>
            <w:shd w:val="clear" w:color="auto" w:fill="auto"/>
            <w:noWrap/>
            <w:vAlign w:val="bottom"/>
            <w:hideMark/>
          </w:tcPr>
          <w:p w:rsidR="00F027EF" w:rsidRPr="007B1ECD" w:rsidRDefault="00F027EF" w:rsidP="00F237F1">
            <w:pPr>
              <w:jc w:val="center"/>
              <w:rPr>
                <w:color w:val="000000"/>
              </w:rPr>
            </w:pPr>
            <w:r w:rsidRPr="007B1ECD">
              <w:rPr>
                <w:color w:val="000000"/>
              </w:rPr>
              <w:t>a</w:t>
            </w:r>
            <w:r w:rsidRPr="007B1ECD">
              <w:rPr>
                <w:color w:val="000000"/>
                <w:vertAlign w:val="subscript"/>
              </w:rPr>
              <w:t>4</w:t>
            </w:r>
          </w:p>
        </w:tc>
        <w:tc>
          <w:tcPr>
            <w:tcW w:w="1710" w:type="dxa"/>
            <w:tcBorders>
              <w:top w:val="nil"/>
              <w:left w:val="nil"/>
              <w:bottom w:val="single" w:sz="4" w:space="0" w:color="auto"/>
              <w:right w:val="nil"/>
            </w:tcBorders>
            <w:shd w:val="clear" w:color="auto" w:fill="auto"/>
            <w:noWrap/>
            <w:vAlign w:val="bottom"/>
            <w:hideMark/>
          </w:tcPr>
          <w:p w:rsidR="00F027EF" w:rsidRPr="007B1ECD" w:rsidRDefault="00F027EF" w:rsidP="00F237F1">
            <w:pPr>
              <w:rPr>
                <w:color w:val="000000"/>
              </w:rPr>
            </w:pPr>
            <w:r>
              <w:rPr>
                <w:color w:val="000000"/>
              </w:rPr>
              <w:t xml:space="preserve">      </w:t>
            </w:r>
            <w:r w:rsidRPr="007B1ECD">
              <w:rPr>
                <w:color w:val="000000"/>
              </w:rPr>
              <w:t>39.22</w:t>
            </w:r>
            <w:r>
              <w:rPr>
                <w:color w:val="000000"/>
              </w:rPr>
              <w:t>c</w:t>
            </w:r>
          </w:p>
        </w:tc>
      </w:tr>
      <w:tr w:rsidR="000B4040" w:rsidRPr="007B1ECD" w:rsidTr="00750ED5">
        <w:trPr>
          <w:trHeight w:val="70"/>
        </w:trPr>
        <w:tc>
          <w:tcPr>
            <w:tcW w:w="1800" w:type="dxa"/>
            <w:tcBorders>
              <w:top w:val="nil"/>
              <w:left w:val="nil"/>
              <w:bottom w:val="single" w:sz="4" w:space="0" w:color="auto"/>
              <w:right w:val="nil"/>
            </w:tcBorders>
            <w:shd w:val="clear" w:color="auto" w:fill="auto"/>
            <w:noWrap/>
            <w:vAlign w:val="bottom"/>
            <w:hideMark/>
          </w:tcPr>
          <w:p w:rsidR="000B4040" w:rsidRPr="007B1ECD" w:rsidRDefault="000B4040" w:rsidP="00750ED5">
            <w:pPr>
              <w:jc w:val="center"/>
              <w:rPr>
                <w:b/>
                <w:color w:val="000000"/>
              </w:rPr>
            </w:pPr>
            <w:r w:rsidRPr="007B1ECD">
              <w:rPr>
                <w:b/>
                <w:color w:val="000000"/>
              </w:rPr>
              <w:t>BNJ 5 %</w:t>
            </w:r>
          </w:p>
        </w:tc>
        <w:tc>
          <w:tcPr>
            <w:tcW w:w="1710" w:type="dxa"/>
            <w:tcBorders>
              <w:top w:val="nil"/>
              <w:left w:val="nil"/>
              <w:bottom w:val="single" w:sz="4" w:space="0" w:color="auto"/>
              <w:right w:val="nil"/>
            </w:tcBorders>
            <w:shd w:val="clear" w:color="auto" w:fill="auto"/>
            <w:noWrap/>
            <w:vAlign w:val="bottom"/>
            <w:hideMark/>
          </w:tcPr>
          <w:p w:rsidR="000B4040" w:rsidRPr="007B1ECD" w:rsidRDefault="00F027EF" w:rsidP="00F027EF">
            <w:pPr>
              <w:rPr>
                <w:b/>
                <w:color w:val="000000"/>
              </w:rPr>
            </w:pPr>
            <w:r>
              <w:rPr>
                <w:b/>
                <w:color w:val="000000"/>
              </w:rPr>
              <w:t xml:space="preserve">        </w:t>
            </w:r>
            <w:r w:rsidR="000B4040" w:rsidRPr="007B1ECD">
              <w:rPr>
                <w:b/>
                <w:color w:val="000000"/>
              </w:rPr>
              <w:t>3.57</w:t>
            </w:r>
          </w:p>
        </w:tc>
      </w:tr>
    </w:tbl>
    <w:p w:rsidR="00F1566E" w:rsidRDefault="003F3EAA" w:rsidP="00847014">
      <w:pPr>
        <w:jc w:val="both"/>
        <w:rPr>
          <w:b/>
          <w:sz w:val="20"/>
        </w:rPr>
      </w:pPr>
      <w:r w:rsidRPr="00F1566E">
        <w:rPr>
          <w:b/>
          <w:sz w:val="20"/>
          <w:lang w:val="id-ID"/>
        </w:rPr>
        <w:t>Ket</w:t>
      </w:r>
      <w:r w:rsidR="00847014" w:rsidRPr="00F1566E">
        <w:rPr>
          <w:b/>
          <w:sz w:val="20"/>
          <w:lang w:val="id-ID"/>
        </w:rPr>
        <w:t xml:space="preserve">erangan : </w:t>
      </w:r>
    </w:p>
    <w:p w:rsidR="003F3EAA" w:rsidRPr="00F1566E" w:rsidRDefault="003F3EAA" w:rsidP="00847014">
      <w:pPr>
        <w:jc w:val="both"/>
        <w:rPr>
          <w:b/>
          <w:sz w:val="22"/>
          <w:lang w:val="id-ID"/>
        </w:rPr>
      </w:pPr>
      <w:r w:rsidRPr="00F1566E">
        <w:rPr>
          <w:sz w:val="20"/>
          <w:lang w:val="id-ID"/>
        </w:rPr>
        <w:t>Angka yang diikuti huruf yang sama menunjukkan berbeda tidak nyata</w:t>
      </w:r>
      <w:r w:rsidRPr="00F1566E">
        <w:rPr>
          <w:sz w:val="20"/>
        </w:rPr>
        <w:t xml:space="preserve"> pada uji BNJ taraf 5 %.</w:t>
      </w:r>
    </w:p>
    <w:p w:rsidR="00467B52" w:rsidRPr="00467B52" w:rsidRDefault="00467B52" w:rsidP="003F3EAA">
      <w:pPr>
        <w:pStyle w:val="ListParagraph"/>
        <w:ind w:left="0"/>
        <w:jc w:val="both"/>
        <w:rPr>
          <w:sz w:val="18"/>
        </w:rPr>
      </w:pPr>
    </w:p>
    <w:p w:rsidR="00AB63DA" w:rsidRDefault="00AB63DA" w:rsidP="000469D1">
      <w:pPr>
        <w:pStyle w:val="ListParagraph"/>
        <w:numPr>
          <w:ilvl w:val="0"/>
          <w:numId w:val="27"/>
        </w:numPr>
        <w:tabs>
          <w:tab w:val="left" w:pos="426"/>
        </w:tabs>
        <w:ind w:left="720"/>
        <w:jc w:val="both"/>
        <w:rPr>
          <w:b/>
        </w:rPr>
      </w:pPr>
      <w:r w:rsidRPr="00C80A88">
        <w:rPr>
          <w:b/>
        </w:rPr>
        <w:t xml:space="preserve">Tinggi Tanaman </w:t>
      </w:r>
      <w:r>
        <w:rPr>
          <w:b/>
        </w:rPr>
        <w:t>(cm)</w:t>
      </w:r>
    </w:p>
    <w:p w:rsidR="00AB63DA" w:rsidRDefault="00501035" w:rsidP="00501035">
      <w:pPr>
        <w:pStyle w:val="ListParagraph"/>
        <w:autoSpaceDE w:val="0"/>
        <w:autoSpaceDN w:val="0"/>
        <w:adjustRightInd w:val="0"/>
        <w:ind w:left="0" w:firstLine="720"/>
        <w:jc w:val="both"/>
      </w:pPr>
      <w:r>
        <w:rPr>
          <w:rFonts w:eastAsiaTheme="minorHAnsi"/>
        </w:rPr>
        <w:t xml:space="preserve">Berdasarkan </w:t>
      </w:r>
      <w:r w:rsidR="00AB63DA">
        <w:rPr>
          <w:rFonts w:eastAsiaTheme="minorHAnsi"/>
        </w:rPr>
        <w:t>a</w:t>
      </w:r>
      <w:r w:rsidR="00AB63DA" w:rsidRPr="00E74A8B">
        <w:rPr>
          <w:rFonts w:eastAsiaTheme="minorHAnsi"/>
          <w:lang w:val="id-ID"/>
        </w:rPr>
        <w:t xml:space="preserve">nalisis </w:t>
      </w:r>
      <w:r w:rsidR="00AB63DA">
        <w:rPr>
          <w:rFonts w:eastAsiaTheme="minorHAnsi"/>
        </w:rPr>
        <w:t xml:space="preserve">keragaman tinggi tanaman menyatakan bahwa pemberian </w:t>
      </w:r>
      <w:r w:rsidR="00AB63DA" w:rsidRPr="00E74A8B">
        <w:rPr>
          <w:i/>
        </w:rPr>
        <w:t>A</w:t>
      </w:r>
      <w:r w:rsidR="00AB63DA">
        <w:rPr>
          <w:i/>
        </w:rPr>
        <w:t xml:space="preserve">. </w:t>
      </w:r>
      <w:r w:rsidR="00AB63DA" w:rsidRPr="00E74A8B">
        <w:rPr>
          <w:i/>
        </w:rPr>
        <w:t xml:space="preserve">niger </w:t>
      </w:r>
      <w:r w:rsidR="00AB63DA" w:rsidRPr="00E74A8B">
        <w:t xml:space="preserve">dan </w:t>
      </w:r>
      <w:r w:rsidR="00AB63DA" w:rsidRPr="00E74A8B">
        <w:rPr>
          <w:i/>
        </w:rPr>
        <w:t>G</w:t>
      </w:r>
      <w:r w:rsidR="00AB63DA">
        <w:rPr>
          <w:i/>
        </w:rPr>
        <w:t>.</w:t>
      </w:r>
      <w:r w:rsidR="00AB63DA" w:rsidRPr="00E74A8B">
        <w:rPr>
          <w:i/>
        </w:rPr>
        <w:t xml:space="preserve"> virens</w:t>
      </w:r>
      <w:r w:rsidR="00AB63DA">
        <w:rPr>
          <w:rFonts w:eastAsiaTheme="minorHAnsi"/>
        </w:rPr>
        <w:t xml:space="preserve"> berpengaruh tidak nyata</w:t>
      </w:r>
      <w:r w:rsidR="00030991">
        <w:rPr>
          <w:rFonts w:eastAsiaTheme="minorHAnsi"/>
        </w:rPr>
        <w:t xml:space="preserve"> demikian juga dengan kedua interaksi kapang</w:t>
      </w:r>
      <w:r w:rsidR="00AB63DA">
        <w:rPr>
          <w:rFonts w:eastAsiaTheme="minorHAnsi"/>
        </w:rPr>
        <w:t xml:space="preserve">. </w:t>
      </w:r>
    </w:p>
    <w:p w:rsidR="00501035" w:rsidRPr="000A5FCD" w:rsidRDefault="00501035" w:rsidP="00EE2AE9">
      <w:pPr>
        <w:jc w:val="both"/>
      </w:pPr>
    </w:p>
    <w:p w:rsidR="00AB63DA" w:rsidRPr="007E0946" w:rsidRDefault="00AB63DA" w:rsidP="000469D1">
      <w:pPr>
        <w:pStyle w:val="ListParagraph"/>
        <w:numPr>
          <w:ilvl w:val="0"/>
          <w:numId w:val="27"/>
        </w:numPr>
        <w:tabs>
          <w:tab w:val="left" w:pos="1620"/>
        </w:tabs>
        <w:ind w:left="720"/>
        <w:jc w:val="both"/>
        <w:rPr>
          <w:b/>
          <w:sz w:val="40"/>
        </w:rPr>
      </w:pPr>
      <w:r w:rsidRPr="007E0946">
        <w:rPr>
          <w:b/>
          <w:lang w:val="id-ID"/>
        </w:rPr>
        <w:t>B</w:t>
      </w:r>
      <w:r w:rsidRPr="007E0946">
        <w:rPr>
          <w:b/>
        </w:rPr>
        <w:t xml:space="preserve">obot </w:t>
      </w:r>
      <w:r w:rsidRPr="007E0946">
        <w:rPr>
          <w:b/>
          <w:lang w:val="id-ID"/>
        </w:rPr>
        <w:t>Kering Tanaman</w:t>
      </w:r>
      <w:r w:rsidRPr="007E0946">
        <w:rPr>
          <w:b/>
        </w:rPr>
        <w:t xml:space="preserve"> (g)</w:t>
      </w:r>
    </w:p>
    <w:p w:rsidR="00501035" w:rsidRDefault="00AB63DA" w:rsidP="00765AB4">
      <w:pPr>
        <w:ind w:firstLine="720"/>
        <w:jc w:val="both"/>
      </w:pPr>
      <w:r>
        <w:t xml:space="preserve">Berdasarkan analisis keragaman </w:t>
      </w:r>
      <w:r w:rsidR="00370DB3">
        <w:t xml:space="preserve">bobot kering tanaman </w:t>
      </w:r>
      <w:r>
        <w:t xml:space="preserve">menyatakan bahwa pemberian </w:t>
      </w:r>
      <w:r>
        <w:rPr>
          <w:i/>
        </w:rPr>
        <w:t xml:space="preserve">A. niger </w:t>
      </w:r>
      <w:r>
        <w:t xml:space="preserve">berpengaruh nyata dan </w:t>
      </w:r>
      <w:r>
        <w:rPr>
          <w:i/>
        </w:rPr>
        <w:t xml:space="preserve">G. virens </w:t>
      </w:r>
      <w:r>
        <w:t xml:space="preserve">berpengaruh nyata serta </w:t>
      </w:r>
      <w:r w:rsidR="007B02D3">
        <w:t>ada</w:t>
      </w:r>
      <w:r>
        <w:t xml:space="preserve"> interaksi dari keduanya. </w:t>
      </w:r>
      <w:r w:rsidR="00501035">
        <w:t>Hasil</w:t>
      </w:r>
      <w:r w:rsidR="005C60B3">
        <w:t xml:space="preserve"> uji BNJ 5% </w:t>
      </w:r>
      <w:r w:rsidR="00501035">
        <w:t xml:space="preserve">dapat dilihat </w:t>
      </w:r>
      <w:r w:rsidR="005C60B3">
        <w:t xml:space="preserve">pada Tabel </w:t>
      </w:r>
      <w:r w:rsidR="00501035">
        <w:t>3</w:t>
      </w:r>
      <w:r w:rsidRPr="003749D9">
        <w:t>.</w:t>
      </w:r>
    </w:p>
    <w:p w:rsidR="00ED2333" w:rsidRDefault="00ED2333" w:rsidP="00765AB4">
      <w:pPr>
        <w:ind w:firstLine="720"/>
        <w:jc w:val="both"/>
      </w:pPr>
    </w:p>
    <w:p w:rsidR="00ED2333" w:rsidRDefault="00ED2333" w:rsidP="00765AB4">
      <w:pPr>
        <w:ind w:firstLine="720"/>
        <w:jc w:val="both"/>
      </w:pPr>
    </w:p>
    <w:p w:rsidR="00ED2333" w:rsidRDefault="00ED2333" w:rsidP="00765AB4">
      <w:pPr>
        <w:ind w:firstLine="720"/>
        <w:jc w:val="both"/>
      </w:pPr>
    </w:p>
    <w:p w:rsidR="00ED2333" w:rsidRDefault="00ED2333" w:rsidP="00765AB4">
      <w:pPr>
        <w:ind w:firstLine="720"/>
        <w:jc w:val="both"/>
      </w:pPr>
    </w:p>
    <w:p w:rsidR="00ED2333" w:rsidRDefault="00ED2333" w:rsidP="00765AB4">
      <w:pPr>
        <w:ind w:firstLine="720"/>
        <w:jc w:val="both"/>
      </w:pPr>
    </w:p>
    <w:p w:rsidR="00ED2333" w:rsidRDefault="00ED2333" w:rsidP="00765AB4">
      <w:pPr>
        <w:ind w:firstLine="720"/>
        <w:jc w:val="both"/>
      </w:pPr>
    </w:p>
    <w:p w:rsidR="00AB63DA" w:rsidRDefault="00AB63DA" w:rsidP="00501035">
      <w:pPr>
        <w:ind w:firstLine="360"/>
        <w:jc w:val="both"/>
      </w:pPr>
      <w:r w:rsidRPr="004B686F">
        <w:rPr>
          <w:lang w:val="id-ID"/>
        </w:rPr>
        <w:lastRenderedPageBreak/>
        <w:t xml:space="preserve">Tabel </w:t>
      </w:r>
      <w:r w:rsidR="00501035">
        <w:t>3</w:t>
      </w:r>
      <w:r w:rsidRPr="004B686F">
        <w:rPr>
          <w:lang w:val="id-ID"/>
        </w:rPr>
        <w:t xml:space="preserve">. </w:t>
      </w:r>
      <w:r w:rsidR="00501035" w:rsidRPr="004B686F">
        <w:t>Hasil Uji BNJ</w:t>
      </w:r>
      <w:r w:rsidR="00501035" w:rsidRPr="004B686F">
        <w:rPr>
          <w:vertAlign w:val="subscript"/>
        </w:rPr>
        <w:t>0,05</w:t>
      </w:r>
      <w:r w:rsidR="00501035" w:rsidRPr="004B686F">
        <w:t xml:space="preserve"> Pengaruh Kapang </w:t>
      </w:r>
      <w:r w:rsidR="00501035" w:rsidRPr="004B686F">
        <w:rPr>
          <w:i/>
        </w:rPr>
        <w:t>A</w:t>
      </w:r>
      <w:r w:rsidR="00501035">
        <w:rPr>
          <w:i/>
        </w:rPr>
        <w:t>.</w:t>
      </w:r>
      <w:r w:rsidR="00501035" w:rsidRPr="004B686F">
        <w:rPr>
          <w:i/>
        </w:rPr>
        <w:t xml:space="preserve"> niger </w:t>
      </w:r>
      <w:r w:rsidR="00501035" w:rsidRPr="004B686F">
        <w:t xml:space="preserve">dan </w:t>
      </w:r>
      <w:r w:rsidR="00501035" w:rsidRPr="004B686F">
        <w:rPr>
          <w:i/>
        </w:rPr>
        <w:t>G</w:t>
      </w:r>
      <w:r w:rsidR="00501035">
        <w:rPr>
          <w:i/>
        </w:rPr>
        <w:t>.</w:t>
      </w:r>
      <w:r w:rsidR="00501035" w:rsidRPr="004B686F">
        <w:rPr>
          <w:i/>
        </w:rPr>
        <w:t xml:space="preserve"> virens</w:t>
      </w:r>
      <w:r w:rsidR="00501035" w:rsidRPr="004B686F">
        <w:t xml:space="preserve"> Terhadap Bobot Kering Tanaman (g)</w:t>
      </w:r>
    </w:p>
    <w:tbl>
      <w:tblPr>
        <w:tblW w:w="3510" w:type="dxa"/>
        <w:tblInd w:w="108" w:type="dxa"/>
        <w:tblLook w:val="04A0"/>
      </w:tblPr>
      <w:tblGrid>
        <w:gridCol w:w="1800"/>
        <w:gridCol w:w="1710"/>
      </w:tblGrid>
      <w:tr w:rsidR="00ED2333" w:rsidRPr="005C38D2" w:rsidTr="00750ED5">
        <w:trPr>
          <w:trHeight w:val="70"/>
        </w:trPr>
        <w:tc>
          <w:tcPr>
            <w:tcW w:w="1800" w:type="dxa"/>
            <w:tcBorders>
              <w:top w:val="single" w:sz="4" w:space="0" w:color="auto"/>
              <w:left w:val="nil"/>
              <w:bottom w:val="single" w:sz="4" w:space="0" w:color="auto"/>
              <w:right w:val="nil"/>
            </w:tcBorders>
            <w:shd w:val="clear" w:color="auto" w:fill="auto"/>
            <w:noWrap/>
            <w:vAlign w:val="bottom"/>
            <w:hideMark/>
          </w:tcPr>
          <w:p w:rsidR="00ED2333" w:rsidRPr="005C38D2" w:rsidRDefault="00ED2333" w:rsidP="00750ED5">
            <w:pPr>
              <w:jc w:val="center"/>
              <w:rPr>
                <w:b/>
                <w:color w:val="191919"/>
              </w:rPr>
            </w:pPr>
            <w:r w:rsidRPr="005C38D2">
              <w:rPr>
                <w:b/>
                <w:color w:val="191919"/>
              </w:rPr>
              <w:t>Perlakuan</w:t>
            </w:r>
          </w:p>
        </w:tc>
        <w:tc>
          <w:tcPr>
            <w:tcW w:w="1710" w:type="dxa"/>
            <w:tcBorders>
              <w:top w:val="single" w:sz="4" w:space="0" w:color="auto"/>
              <w:left w:val="nil"/>
              <w:bottom w:val="single" w:sz="4" w:space="0" w:color="auto"/>
              <w:right w:val="nil"/>
            </w:tcBorders>
            <w:shd w:val="clear" w:color="auto" w:fill="auto"/>
            <w:noWrap/>
            <w:vAlign w:val="bottom"/>
            <w:hideMark/>
          </w:tcPr>
          <w:p w:rsidR="00ED2333" w:rsidRPr="005C38D2" w:rsidRDefault="00ED2333" w:rsidP="00750ED5">
            <w:pPr>
              <w:jc w:val="center"/>
              <w:rPr>
                <w:b/>
                <w:color w:val="191919"/>
              </w:rPr>
            </w:pPr>
            <w:r w:rsidRPr="005C38D2">
              <w:rPr>
                <w:b/>
                <w:color w:val="191919"/>
              </w:rPr>
              <w:t>Rerata</w:t>
            </w:r>
          </w:p>
        </w:tc>
      </w:tr>
      <w:tr w:rsidR="00182083" w:rsidRPr="005C38D2" w:rsidTr="00750ED5">
        <w:trPr>
          <w:trHeight w:val="7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1</w:t>
            </w:r>
            <w:r>
              <w:rPr>
                <w:color w:val="000000"/>
              </w:rPr>
              <w:t>g</w:t>
            </w:r>
            <w:r w:rsidRPr="00231DD3">
              <w:rPr>
                <w:color w:val="000000"/>
                <w:vertAlign w:val="subscript"/>
              </w:rPr>
              <w:t>2</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24.52</w:t>
            </w:r>
            <w:r>
              <w:rPr>
                <w:color w:val="000000"/>
              </w:rPr>
              <w:t>a</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1</w:t>
            </w:r>
            <w:r>
              <w:rPr>
                <w:color w:val="000000"/>
              </w:rPr>
              <w:t>g</w:t>
            </w:r>
            <w:r w:rsidRPr="00231DD3">
              <w:rPr>
                <w:color w:val="000000"/>
                <w:vertAlign w:val="subscript"/>
              </w:rPr>
              <w:t>4</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28.09</w:t>
            </w:r>
            <w:r>
              <w:rPr>
                <w:color w:val="000000"/>
              </w:rPr>
              <w:t>ab</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2</w:t>
            </w:r>
            <w:r>
              <w:rPr>
                <w:color w:val="000000"/>
              </w:rPr>
              <w:t>g</w:t>
            </w:r>
            <w:r w:rsidRPr="00231DD3">
              <w:rPr>
                <w:color w:val="000000"/>
                <w:vertAlign w:val="subscript"/>
              </w:rPr>
              <w:t>1</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28.63</w:t>
            </w:r>
            <w:r>
              <w:rPr>
                <w:color w:val="000000"/>
              </w:rPr>
              <w:t>ab</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3</w:t>
            </w:r>
            <w:r>
              <w:rPr>
                <w:color w:val="000000"/>
              </w:rPr>
              <w:t>g</w:t>
            </w:r>
            <w:r w:rsidRPr="00231DD3">
              <w:rPr>
                <w:color w:val="000000"/>
                <w:vertAlign w:val="subscript"/>
              </w:rPr>
              <w:t>1</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28.89</w:t>
            </w:r>
            <w:r>
              <w:rPr>
                <w:color w:val="000000"/>
              </w:rPr>
              <w:t>ab</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2</w:t>
            </w:r>
            <w:r>
              <w:rPr>
                <w:color w:val="000000"/>
              </w:rPr>
              <w:t>g</w:t>
            </w:r>
            <w:r w:rsidRPr="00231DD3">
              <w:rPr>
                <w:color w:val="000000"/>
                <w:vertAlign w:val="subscript"/>
              </w:rPr>
              <w:t>3</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28.94</w:t>
            </w:r>
            <w:r>
              <w:rPr>
                <w:color w:val="000000"/>
              </w:rPr>
              <w:t>ab</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3</w:t>
            </w:r>
            <w:r>
              <w:rPr>
                <w:color w:val="000000"/>
              </w:rPr>
              <w:t>g</w:t>
            </w:r>
            <w:r w:rsidRPr="00231DD3">
              <w:rPr>
                <w:color w:val="000000"/>
                <w:vertAlign w:val="subscript"/>
              </w:rPr>
              <w:t>4</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33.68</w:t>
            </w:r>
            <w:r>
              <w:rPr>
                <w:color w:val="000000"/>
              </w:rPr>
              <w:t>bc</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3</w:t>
            </w:r>
            <w:r>
              <w:rPr>
                <w:color w:val="000000"/>
              </w:rPr>
              <w:t>g</w:t>
            </w:r>
            <w:r w:rsidRPr="00231DD3">
              <w:rPr>
                <w:color w:val="000000"/>
                <w:vertAlign w:val="subscript"/>
              </w:rPr>
              <w:t>2</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37.45</w:t>
            </w:r>
            <w:r>
              <w:rPr>
                <w:color w:val="000000"/>
              </w:rPr>
              <w:t>cd</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2</w:t>
            </w:r>
            <w:r>
              <w:rPr>
                <w:color w:val="000000"/>
              </w:rPr>
              <w:t>g</w:t>
            </w:r>
            <w:r w:rsidRPr="00231DD3">
              <w:rPr>
                <w:color w:val="000000"/>
                <w:vertAlign w:val="subscript"/>
              </w:rPr>
              <w:t>2</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37.74</w:t>
            </w:r>
            <w:r>
              <w:rPr>
                <w:color w:val="000000"/>
              </w:rPr>
              <w:t>cd</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2</w:t>
            </w:r>
            <w:r>
              <w:rPr>
                <w:color w:val="000000"/>
              </w:rPr>
              <w:t>g</w:t>
            </w:r>
            <w:r w:rsidRPr="00231DD3">
              <w:rPr>
                <w:color w:val="000000"/>
                <w:vertAlign w:val="subscript"/>
              </w:rPr>
              <w:t>4</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39.25</w:t>
            </w:r>
            <w:r>
              <w:rPr>
                <w:color w:val="000000"/>
              </w:rPr>
              <w:t>cde</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1</w:t>
            </w:r>
            <w:r>
              <w:rPr>
                <w:color w:val="000000"/>
              </w:rPr>
              <w:t>g</w:t>
            </w:r>
            <w:r w:rsidRPr="00231DD3">
              <w:rPr>
                <w:color w:val="000000"/>
                <w:vertAlign w:val="subscript"/>
              </w:rPr>
              <w:t>1</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41.06</w:t>
            </w:r>
            <w:r>
              <w:rPr>
                <w:color w:val="000000"/>
              </w:rPr>
              <w:t>cdef</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4</w:t>
            </w:r>
            <w:r>
              <w:rPr>
                <w:color w:val="000000"/>
              </w:rPr>
              <w:t>g</w:t>
            </w:r>
            <w:r w:rsidRPr="00231DD3">
              <w:rPr>
                <w:color w:val="000000"/>
                <w:vertAlign w:val="subscript"/>
              </w:rPr>
              <w:t>3</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44.99</w:t>
            </w:r>
            <w:r>
              <w:rPr>
                <w:color w:val="000000"/>
              </w:rPr>
              <w:t>defg</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3</w:t>
            </w:r>
            <w:r>
              <w:rPr>
                <w:color w:val="000000"/>
              </w:rPr>
              <w:t>g</w:t>
            </w:r>
            <w:r w:rsidRPr="00231DD3">
              <w:rPr>
                <w:color w:val="000000"/>
                <w:vertAlign w:val="subscript"/>
              </w:rPr>
              <w:t>3</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47.12</w:t>
            </w:r>
            <w:r>
              <w:rPr>
                <w:color w:val="000000"/>
              </w:rPr>
              <w:t>efg</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4</w:t>
            </w:r>
            <w:r>
              <w:rPr>
                <w:color w:val="000000"/>
              </w:rPr>
              <w:t>g</w:t>
            </w:r>
            <w:r w:rsidRPr="00231DD3">
              <w:rPr>
                <w:color w:val="000000"/>
                <w:vertAlign w:val="subscript"/>
              </w:rPr>
              <w:t>1</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49.02</w:t>
            </w:r>
            <w:r>
              <w:rPr>
                <w:color w:val="000000"/>
              </w:rPr>
              <w:t>fgh</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1</w:t>
            </w:r>
            <w:r>
              <w:rPr>
                <w:color w:val="000000"/>
              </w:rPr>
              <w:t>g</w:t>
            </w:r>
            <w:r w:rsidRPr="00231DD3">
              <w:rPr>
                <w:color w:val="000000"/>
                <w:vertAlign w:val="subscript"/>
              </w:rPr>
              <w:t>3</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54.45</w:t>
            </w:r>
            <w:r>
              <w:rPr>
                <w:color w:val="000000"/>
              </w:rPr>
              <w:t>hi</w:t>
            </w:r>
          </w:p>
        </w:tc>
      </w:tr>
      <w:tr w:rsidR="00182083" w:rsidRPr="005C38D2" w:rsidTr="00750ED5">
        <w:trPr>
          <w:trHeight w:val="80"/>
        </w:trPr>
        <w:tc>
          <w:tcPr>
            <w:tcW w:w="1800" w:type="dxa"/>
            <w:tcBorders>
              <w:top w:val="nil"/>
              <w:left w:val="nil"/>
              <w:bottom w:val="nil"/>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4</w:t>
            </w:r>
            <w:r>
              <w:rPr>
                <w:color w:val="000000"/>
              </w:rPr>
              <w:t>g</w:t>
            </w:r>
            <w:r w:rsidRPr="00231DD3">
              <w:rPr>
                <w:color w:val="000000"/>
                <w:vertAlign w:val="subscript"/>
              </w:rPr>
              <w:t>2</w:t>
            </w:r>
          </w:p>
        </w:tc>
        <w:tc>
          <w:tcPr>
            <w:tcW w:w="1710" w:type="dxa"/>
            <w:tcBorders>
              <w:top w:val="nil"/>
              <w:left w:val="nil"/>
              <w:bottom w:val="nil"/>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54.86</w:t>
            </w:r>
            <w:r>
              <w:rPr>
                <w:color w:val="000000"/>
              </w:rPr>
              <w:t>hi</w:t>
            </w:r>
          </w:p>
        </w:tc>
      </w:tr>
      <w:tr w:rsidR="00182083" w:rsidRPr="005C38D2" w:rsidTr="00750ED5">
        <w:trPr>
          <w:trHeight w:val="80"/>
        </w:trPr>
        <w:tc>
          <w:tcPr>
            <w:tcW w:w="1800" w:type="dxa"/>
            <w:tcBorders>
              <w:top w:val="nil"/>
              <w:left w:val="nil"/>
              <w:bottom w:val="single" w:sz="4" w:space="0" w:color="auto"/>
              <w:right w:val="nil"/>
            </w:tcBorders>
            <w:shd w:val="clear" w:color="auto" w:fill="auto"/>
            <w:noWrap/>
            <w:vAlign w:val="bottom"/>
            <w:hideMark/>
          </w:tcPr>
          <w:p w:rsidR="00182083" w:rsidRPr="00231DD3" w:rsidRDefault="00182083" w:rsidP="00F237F1">
            <w:pPr>
              <w:jc w:val="center"/>
              <w:rPr>
                <w:color w:val="000000"/>
              </w:rPr>
            </w:pPr>
            <w:r w:rsidRPr="00231DD3">
              <w:rPr>
                <w:color w:val="000000"/>
              </w:rPr>
              <w:t>a</w:t>
            </w:r>
            <w:r w:rsidRPr="00231DD3">
              <w:rPr>
                <w:color w:val="000000"/>
                <w:vertAlign w:val="subscript"/>
              </w:rPr>
              <w:t>4</w:t>
            </w:r>
            <w:r>
              <w:rPr>
                <w:color w:val="000000"/>
              </w:rPr>
              <w:t>g</w:t>
            </w:r>
            <w:r w:rsidRPr="00231DD3">
              <w:rPr>
                <w:color w:val="000000"/>
                <w:vertAlign w:val="subscript"/>
              </w:rPr>
              <w:t>4</w:t>
            </w:r>
          </w:p>
        </w:tc>
        <w:tc>
          <w:tcPr>
            <w:tcW w:w="1710" w:type="dxa"/>
            <w:tcBorders>
              <w:top w:val="nil"/>
              <w:left w:val="nil"/>
              <w:bottom w:val="single" w:sz="4" w:space="0" w:color="auto"/>
              <w:right w:val="nil"/>
            </w:tcBorders>
            <w:shd w:val="clear" w:color="000000" w:fill="FFFFFF"/>
            <w:noWrap/>
            <w:vAlign w:val="bottom"/>
            <w:hideMark/>
          </w:tcPr>
          <w:p w:rsidR="00182083" w:rsidRPr="00231DD3" w:rsidRDefault="00182083" w:rsidP="00F237F1">
            <w:pPr>
              <w:rPr>
                <w:color w:val="000000"/>
              </w:rPr>
            </w:pPr>
            <w:r>
              <w:rPr>
                <w:color w:val="000000"/>
              </w:rPr>
              <w:t xml:space="preserve">      </w:t>
            </w:r>
            <w:r w:rsidRPr="00231DD3">
              <w:rPr>
                <w:color w:val="000000"/>
              </w:rPr>
              <w:t>55.80</w:t>
            </w:r>
            <w:r>
              <w:rPr>
                <w:color w:val="000000"/>
              </w:rPr>
              <w:t>i</w:t>
            </w:r>
          </w:p>
        </w:tc>
      </w:tr>
      <w:tr w:rsidR="00182083" w:rsidRPr="005C38D2" w:rsidTr="00750ED5">
        <w:trPr>
          <w:trHeight w:val="70"/>
        </w:trPr>
        <w:tc>
          <w:tcPr>
            <w:tcW w:w="1800" w:type="dxa"/>
            <w:tcBorders>
              <w:top w:val="single" w:sz="4" w:space="0" w:color="auto"/>
              <w:left w:val="nil"/>
              <w:bottom w:val="single" w:sz="4" w:space="0" w:color="auto"/>
              <w:right w:val="nil"/>
            </w:tcBorders>
            <w:shd w:val="clear" w:color="auto" w:fill="auto"/>
            <w:noWrap/>
            <w:vAlign w:val="bottom"/>
            <w:hideMark/>
          </w:tcPr>
          <w:p w:rsidR="00182083" w:rsidRPr="00231DD3" w:rsidRDefault="00182083" w:rsidP="00F237F1">
            <w:pPr>
              <w:jc w:val="center"/>
              <w:rPr>
                <w:b/>
                <w:color w:val="000000"/>
              </w:rPr>
            </w:pPr>
            <w:r w:rsidRPr="00231DD3">
              <w:rPr>
                <w:b/>
                <w:color w:val="000000"/>
              </w:rPr>
              <w:t>BNJ 5 %</w:t>
            </w:r>
          </w:p>
        </w:tc>
        <w:tc>
          <w:tcPr>
            <w:tcW w:w="1710" w:type="dxa"/>
            <w:tcBorders>
              <w:top w:val="single" w:sz="4" w:space="0" w:color="auto"/>
              <w:left w:val="nil"/>
              <w:bottom w:val="single" w:sz="4" w:space="0" w:color="auto"/>
              <w:right w:val="nil"/>
            </w:tcBorders>
            <w:shd w:val="clear" w:color="auto" w:fill="auto"/>
            <w:noWrap/>
            <w:vAlign w:val="bottom"/>
            <w:hideMark/>
          </w:tcPr>
          <w:p w:rsidR="00182083" w:rsidRPr="00231DD3" w:rsidRDefault="00182083" w:rsidP="00F237F1">
            <w:pPr>
              <w:rPr>
                <w:b/>
                <w:color w:val="000000"/>
              </w:rPr>
            </w:pPr>
            <w:r>
              <w:rPr>
                <w:b/>
                <w:color w:val="000000"/>
              </w:rPr>
              <w:t xml:space="preserve">        </w:t>
            </w:r>
            <w:r w:rsidRPr="00231DD3">
              <w:rPr>
                <w:b/>
                <w:color w:val="000000"/>
              </w:rPr>
              <w:t>8.03</w:t>
            </w:r>
          </w:p>
        </w:tc>
      </w:tr>
    </w:tbl>
    <w:p w:rsidR="00A60C47" w:rsidRDefault="00AB63DA" w:rsidP="00A60C47">
      <w:pPr>
        <w:rPr>
          <w:b/>
          <w:sz w:val="20"/>
        </w:rPr>
      </w:pPr>
      <w:r w:rsidRPr="00A60C47">
        <w:rPr>
          <w:b/>
          <w:sz w:val="20"/>
          <w:lang w:val="id-ID"/>
        </w:rPr>
        <w:t>Keterangan</w:t>
      </w:r>
      <w:r w:rsidR="00DF77DD" w:rsidRPr="00A60C47">
        <w:rPr>
          <w:b/>
          <w:sz w:val="20"/>
          <w:lang w:val="id-ID"/>
        </w:rPr>
        <w:t xml:space="preserve"> </w:t>
      </w:r>
      <w:r w:rsidRPr="00A60C47">
        <w:rPr>
          <w:b/>
          <w:sz w:val="20"/>
          <w:lang w:val="id-ID"/>
        </w:rPr>
        <w:t>:</w:t>
      </w:r>
      <w:r w:rsidR="00DF77DD" w:rsidRPr="00A60C47">
        <w:rPr>
          <w:b/>
          <w:sz w:val="20"/>
          <w:lang w:val="id-ID"/>
        </w:rPr>
        <w:t xml:space="preserve"> </w:t>
      </w:r>
    </w:p>
    <w:p w:rsidR="00AB63DA" w:rsidRPr="00A60C47" w:rsidRDefault="00AB63DA" w:rsidP="00A60C47">
      <w:pPr>
        <w:rPr>
          <w:b/>
          <w:sz w:val="20"/>
          <w:lang w:val="id-ID"/>
        </w:rPr>
      </w:pPr>
      <w:r w:rsidRPr="00A60C47">
        <w:rPr>
          <w:sz w:val="20"/>
          <w:lang w:val="id-ID"/>
        </w:rPr>
        <w:t>Angka yang diikuti huruf yang sama menunjukkan berbeda tidak nyata</w:t>
      </w:r>
      <w:r w:rsidRPr="00A60C47">
        <w:rPr>
          <w:sz w:val="20"/>
        </w:rPr>
        <w:t xml:space="preserve"> pada uji BNJ taraf 5 %.</w:t>
      </w:r>
    </w:p>
    <w:p w:rsidR="00765AB4" w:rsidRPr="00A60C47" w:rsidRDefault="00765AB4" w:rsidP="00994DE5">
      <w:pPr>
        <w:jc w:val="both"/>
        <w:rPr>
          <w:szCs w:val="20"/>
        </w:rPr>
      </w:pPr>
    </w:p>
    <w:p w:rsidR="004E2119" w:rsidRPr="001D25FA" w:rsidRDefault="00AB63DA" w:rsidP="000469D1">
      <w:pPr>
        <w:pStyle w:val="ListParagraph"/>
        <w:numPr>
          <w:ilvl w:val="0"/>
          <w:numId w:val="24"/>
        </w:numPr>
        <w:tabs>
          <w:tab w:val="left" w:pos="1170"/>
        </w:tabs>
        <w:ind w:left="720"/>
        <w:rPr>
          <w:b/>
        </w:rPr>
      </w:pPr>
      <w:r w:rsidRPr="001D25FA">
        <w:rPr>
          <w:b/>
        </w:rPr>
        <w:t>PEMBAHASAN</w:t>
      </w:r>
    </w:p>
    <w:p w:rsidR="00986168" w:rsidRDefault="00986168" w:rsidP="00986168">
      <w:pPr>
        <w:rPr>
          <w:b/>
        </w:rPr>
      </w:pPr>
    </w:p>
    <w:p w:rsidR="00986168" w:rsidRPr="001C7F82" w:rsidRDefault="00986168" w:rsidP="00986168">
      <w:pPr>
        <w:pStyle w:val="ListParagraph"/>
        <w:ind w:left="0" w:firstLine="720"/>
        <w:jc w:val="both"/>
      </w:pPr>
      <w:r>
        <w:t>P</w:t>
      </w:r>
      <w:r w:rsidRPr="001C7F82">
        <w:t xml:space="preserve">emberian kapang </w:t>
      </w:r>
      <w:r w:rsidRPr="001C7F82">
        <w:rPr>
          <w:i/>
        </w:rPr>
        <w:t>G. virens</w:t>
      </w:r>
      <w:r w:rsidRPr="001C7F82">
        <w:rPr>
          <w:lang w:val="id-ID"/>
        </w:rPr>
        <w:t xml:space="preserve"> </w:t>
      </w:r>
      <w:r w:rsidRPr="001C7F82">
        <w:t xml:space="preserve">berpengaruh </w:t>
      </w:r>
      <w:r>
        <w:t xml:space="preserve">tidak </w:t>
      </w:r>
      <w:r w:rsidRPr="001C7F82">
        <w:t>nyata terhadap volume akar</w:t>
      </w:r>
      <w:r>
        <w:t xml:space="preserve"> dan</w:t>
      </w:r>
      <w:r w:rsidRPr="001C7F82">
        <w:t xml:space="preserve"> </w:t>
      </w:r>
      <w:r>
        <w:t xml:space="preserve">tidak ada </w:t>
      </w:r>
      <w:r w:rsidRPr="001C7F82">
        <w:t xml:space="preserve">interaksi </w:t>
      </w:r>
      <w:r>
        <w:t xml:space="preserve">dari </w:t>
      </w:r>
      <w:r w:rsidRPr="001C7F82">
        <w:t>kedua kapang tersebut.</w:t>
      </w:r>
      <w:r>
        <w:t xml:space="preserve"> Namun, pemberian </w:t>
      </w:r>
      <w:r w:rsidRPr="001C7F82">
        <w:rPr>
          <w:i/>
        </w:rPr>
        <w:t>A. niger</w:t>
      </w:r>
      <w:r>
        <w:rPr>
          <w:i/>
        </w:rPr>
        <w:t xml:space="preserve"> </w:t>
      </w:r>
      <w:r w:rsidRPr="001C7F82">
        <w:t>berpengaruh nyata terhadap volume</w:t>
      </w:r>
      <w:r>
        <w:t xml:space="preserve"> akar.</w:t>
      </w:r>
      <w:r w:rsidRPr="001C7F82">
        <w:t xml:space="preserve"> </w:t>
      </w:r>
      <w:r>
        <w:t xml:space="preserve">Berdasarkan hasil perhitungan </w:t>
      </w:r>
      <w:r w:rsidRPr="001C7F82">
        <w:t xml:space="preserve">uji BNJ 5% volume akar </w:t>
      </w:r>
      <w:r>
        <w:t xml:space="preserve">pada </w:t>
      </w:r>
      <w:r w:rsidRPr="001C7F82">
        <w:t xml:space="preserve">Tabel </w:t>
      </w:r>
      <w:r>
        <w:t>8, menyatakan</w:t>
      </w:r>
      <w:r w:rsidRPr="001C7F82">
        <w:t xml:space="preserve"> bahwa perlakuan a</w:t>
      </w:r>
      <w:r>
        <w:rPr>
          <w:vertAlign w:val="subscript"/>
        </w:rPr>
        <w:t xml:space="preserve">1, </w:t>
      </w:r>
      <w:r>
        <w:t>a</w:t>
      </w:r>
      <w:r>
        <w:rPr>
          <w:vertAlign w:val="subscript"/>
        </w:rPr>
        <w:t xml:space="preserve">2, </w:t>
      </w:r>
      <w:r w:rsidRPr="00CA723E">
        <w:t>dan</w:t>
      </w:r>
      <w:r>
        <w:rPr>
          <w:vertAlign w:val="subscript"/>
        </w:rPr>
        <w:t xml:space="preserve"> </w:t>
      </w:r>
      <w:r>
        <w:t>a</w:t>
      </w:r>
      <w:r w:rsidRPr="00CA723E">
        <w:rPr>
          <w:vertAlign w:val="subscript"/>
        </w:rPr>
        <w:t>3</w:t>
      </w:r>
      <w:r>
        <w:t xml:space="preserve"> berbeda nyata </w:t>
      </w:r>
      <w:r w:rsidRPr="001C7F82">
        <w:t>terhadap perlakuan a</w:t>
      </w:r>
      <w:r w:rsidRPr="001C7F82">
        <w:rPr>
          <w:vertAlign w:val="subscript"/>
        </w:rPr>
        <w:t>4</w:t>
      </w:r>
      <w:r>
        <w:t xml:space="preserve">. </w:t>
      </w:r>
      <w:r w:rsidRPr="001C7F82">
        <w:t>Sedangkan a</w:t>
      </w:r>
      <w:r>
        <w:rPr>
          <w:vertAlign w:val="subscript"/>
        </w:rPr>
        <w:t xml:space="preserve">1, </w:t>
      </w:r>
      <w:r>
        <w:t>a</w:t>
      </w:r>
      <w:r>
        <w:rPr>
          <w:vertAlign w:val="subscript"/>
        </w:rPr>
        <w:t xml:space="preserve">2, </w:t>
      </w:r>
      <w:r w:rsidRPr="00CA723E">
        <w:t>dan</w:t>
      </w:r>
      <w:r>
        <w:rPr>
          <w:vertAlign w:val="subscript"/>
        </w:rPr>
        <w:t xml:space="preserve"> </w:t>
      </w:r>
      <w:r>
        <w:t>a</w:t>
      </w:r>
      <w:r w:rsidRPr="00CA723E">
        <w:rPr>
          <w:vertAlign w:val="subscript"/>
        </w:rPr>
        <w:t>3</w:t>
      </w:r>
      <w:r w:rsidRPr="001C7F82">
        <w:t xml:space="preserve"> tidak berbeda nyata</w:t>
      </w:r>
      <w:r>
        <w:t xml:space="preserve">. </w:t>
      </w:r>
      <w:r w:rsidRPr="001C7F82">
        <w:t xml:space="preserve">Hal ini diduga disebabkan </w:t>
      </w:r>
      <w:r>
        <w:t xml:space="preserve">enzim yang dihasilkan oleh kapang </w:t>
      </w:r>
      <w:r w:rsidRPr="001C7F82">
        <w:rPr>
          <w:i/>
        </w:rPr>
        <w:t xml:space="preserve">A. niger </w:t>
      </w:r>
      <w:r w:rsidRPr="001C7F82">
        <w:t xml:space="preserve">dengan 10 dan 15 ml </w:t>
      </w:r>
      <w:r>
        <w:t xml:space="preserve">isolat suspensi </w:t>
      </w:r>
      <w:r w:rsidRPr="001C7F82">
        <w:t xml:space="preserve">belum mampu </w:t>
      </w:r>
      <w:r>
        <w:t>menguraikan</w:t>
      </w:r>
      <w:r w:rsidRPr="001C7F82">
        <w:t xml:space="preserve"> unsur P yang tersedia bagi tanaman, sedangkan pemberian 20 dan 25 ml </w:t>
      </w:r>
      <w:r w:rsidRPr="001C7F82">
        <w:rPr>
          <w:i/>
        </w:rPr>
        <w:t xml:space="preserve">A. niger </w:t>
      </w:r>
      <w:r w:rsidRPr="001C7F82">
        <w:t xml:space="preserve">mampu </w:t>
      </w:r>
      <w:r>
        <w:t>menguraikan</w:t>
      </w:r>
      <w:r w:rsidRPr="001C7F82">
        <w:t xml:space="preserve"> unsur P yang cukup</w:t>
      </w:r>
      <w:r>
        <w:t xml:space="preserve"> dengan menghasilkan enzim fosfatase sehingga dapat menguraikan unsur P pada gambut dan menjadi tersedia bagi tanaman</w:t>
      </w:r>
      <w:r w:rsidRPr="001C7F82">
        <w:t xml:space="preserve">. Demikian juga dengan pemberian kapang </w:t>
      </w:r>
      <w:r w:rsidRPr="001C7F82">
        <w:rPr>
          <w:i/>
        </w:rPr>
        <w:t>G. virens</w:t>
      </w:r>
      <w:r>
        <w:rPr>
          <w:i/>
        </w:rPr>
        <w:t xml:space="preserve"> </w:t>
      </w:r>
      <w:r w:rsidRPr="001C7F82">
        <w:t xml:space="preserve">dengan dosis 10, 15, 20 dan 25 ml tidak memberikan pengaruh nyata terhadap volume akar. Semakin diberikan perlakuan </w:t>
      </w:r>
      <w:r w:rsidRPr="001C7F82">
        <w:rPr>
          <w:i/>
        </w:rPr>
        <w:t xml:space="preserve">G. virens </w:t>
      </w:r>
      <w:r w:rsidRPr="001C7F82">
        <w:t>pertumbu</w:t>
      </w:r>
      <w:r>
        <w:t xml:space="preserve">han volume akar menjadi kerdil, </w:t>
      </w:r>
      <w:r w:rsidRPr="001C7F82">
        <w:t xml:space="preserve">sehingga dapat dikatakan bahwa pemberian kapang </w:t>
      </w:r>
      <w:r w:rsidRPr="001C7F82">
        <w:rPr>
          <w:i/>
        </w:rPr>
        <w:t xml:space="preserve">G. virens </w:t>
      </w:r>
      <w:r w:rsidRPr="001C7F82">
        <w:t>menjadi penghambat bagi perkembangan akar.</w:t>
      </w:r>
    </w:p>
    <w:p w:rsidR="00986168" w:rsidRPr="00696769" w:rsidRDefault="00986168" w:rsidP="00986168">
      <w:pPr>
        <w:pStyle w:val="ListParagraph"/>
        <w:ind w:left="0" w:firstLine="720"/>
        <w:jc w:val="both"/>
        <w:rPr>
          <w:rFonts w:eastAsiaTheme="minorHAnsi"/>
        </w:rPr>
      </w:pPr>
      <w:r>
        <w:t xml:space="preserve">Kemungkinan lain </w:t>
      </w:r>
      <w:r w:rsidRPr="001C7F82">
        <w:rPr>
          <w:rFonts w:eastAsiaTheme="minorHAnsi"/>
        </w:rPr>
        <w:t xml:space="preserve">bahwa semakin banyak </w:t>
      </w:r>
      <w:r>
        <w:rPr>
          <w:rFonts w:eastAsiaTheme="minorHAnsi"/>
        </w:rPr>
        <w:t xml:space="preserve">jumlah kerapatan konidia </w:t>
      </w:r>
      <w:r w:rsidRPr="001C7F82">
        <w:rPr>
          <w:rFonts w:eastAsiaTheme="minorHAnsi"/>
          <w:i/>
        </w:rPr>
        <w:t xml:space="preserve">A. niger </w:t>
      </w:r>
      <w:r w:rsidRPr="001C7F82">
        <w:rPr>
          <w:rFonts w:eastAsiaTheme="minorHAnsi"/>
        </w:rPr>
        <w:t xml:space="preserve">yang diberikan maka akan menghasilkan pertumbuhan volume akar yang baik. Hal ini mengindikasikan bahwa pemberian kapang </w:t>
      </w:r>
      <w:r w:rsidRPr="001C7F82">
        <w:rPr>
          <w:rFonts w:eastAsiaTheme="minorHAnsi"/>
          <w:i/>
        </w:rPr>
        <w:t xml:space="preserve">A. niger </w:t>
      </w:r>
      <w:r w:rsidRPr="001C7F82">
        <w:rPr>
          <w:rFonts w:eastAsiaTheme="minorHAnsi"/>
        </w:rPr>
        <w:t xml:space="preserve">mampu menggantikan P sebagaimana dosis pupuk anjuran. Dengan memberikan 25 ml </w:t>
      </w:r>
      <w:r>
        <w:rPr>
          <w:rFonts w:eastAsiaTheme="minorHAnsi"/>
        </w:rPr>
        <w:t xml:space="preserve">suspensi isolat </w:t>
      </w:r>
      <w:r w:rsidRPr="001C7F82">
        <w:rPr>
          <w:rFonts w:eastAsiaTheme="minorHAnsi"/>
          <w:i/>
        </w:rPr>
        <w:t xml:space="preserve">A. niger </w:t>
      </w:r>
      <w:r w:rsidRPr="001C7F82">
        <w:rPr>
          <w:rFonts w:eastAsiaTheme="minorHAnsi"/>
        </w:rPr>
        <w:t xml:space="preserve">mampu menguraikan P pada gambut. </w:t>
      </w:r>
      <w:r w:rsidRPr="00696769">
        <w:rPr>
          <w:rFonts w:eastAsiaTheme="minorHAnsi"/>
        </w:rPr>
        <w:t xml:space="preserve">Untuk melihat </w:t>
      </w:r>
      <w:r>
        <w:rPr>
          <w:rFonts w:eastAsiaTheme="minorHAnsi"/>
        </w:rPr>
        <w:t>pengaruh</w:t>
      </w:r>
      <w:r w:rsidRPr="00F44DD8">
        <w:rPr>
          <w:rFonts w:eastAsiaTheme="minorHAnsi"/>
        </w:rPr>
        <w:t xml:space="preserve"> </w:t>
      </w:r>
      <w:r>
        <w:rPr>
          <w:rFonts w:eastAsiaTheme="minorHAnsi"/>
        </w:rPr>
        <w:t xml:space="preserve">pemberian </w:t>
      </w:r>
      <w:r w:rsidRPr="00F44DD8">
        <w:rPr>
          <w:rFonts w:eastAsiaTheme="minorHAnsi"/>
        </w:rPr>
        <w:t xml:space="preserve">kapang </w:t>
      </w:r>
      <w:r w:rsidRPr="00F44DD8">
        <w:rPr>
          <w:rFonts w:eastAsiaTheme="minorHAnsi"/>
          <w:i/>
        </w:rPr>
        <w:t xml:space="preserve">A. niger </w:t>
      </w:r>
      <w:r>
        <w:rPr>
          <w:rFonts w:eastAsiaTheme="minorHAnsi"/>
        </w:rPr>
        <w:t>terhadap volume akar</w:t>
      </w:r>
      <w:r w:rsidRPr="00F44DD8">
        <w:rPr>
          <w:rFonts w:eastAsiaTheme="minorHAnsi"/>
        </w:rPr>
        <w:t xml:space="preserve"> </w:t>
      </w:r>
      <w:r w:rsidRPr="00696769">
        <w:rPr>
          <w:rFonts w:eastAsiaTheme="minorHAnsi"/>
        </w:rPr>
        <w:t xml:space="preserve">dapat dilihat pada Gambar </w:t>
      </w:r>
      <w:r>
        <w:rPr>
          <w:rFonts w:eastAsiaTheme="minorHAnsi"/>
        </w:rPr>
        <w:t>1</w:t>
      </w:r>
      <w:r w:rsidRPr="00696769">
        <w:rPr>
          <w:rFonts w:eastAsiaTheme="minorHAnsi"/>
        </w:rPr>
        <w:t xml:space="preserve"> dibawah ini.</w:t>
      </w:r>
    </w:p>
    <w:p w:rsidR="00986168" w:rsidRDefault="00986168" w:rsidP="00EE13BD">
      <w:pPr>
        <w:ind w:left="450"/>
        <w:rPr>
          <w:b/>
        </w:rPr>
      </w:pPr>
    </w:p>
    <w:p w:rsidR="00986168" w:rsidRPr="00EE13BD" w:rsidRDefault="00986168" w:rsidP="00EE13BD">
      <w:pPr>
        <w:ind w:left="450"/>
        <w:rPr>
          <w:b/>
        </w:rPr>
      </w:pPr>
    </w:p>
    <w:p w:rsidR="00E019B5" w:rsidRPr="00C748D2" w:rsidRDefault="008132E7" w:rsidP="008D2BA3">
      <w:pPr>
        <w:pStyle w:val="ListParagraph"/>
        <w:ind w:left="0" w:firstLine="180"/>
        <w:jc w:val="both"/>
        <w:rPr>
          <w:rFonts w:eastAsiaTheme="minorHAnsi"/>
        </w:rPr>
      </w:pPr>
      <w:r w:rsidRPr="008132E7">
        <w:rPr>
          <w:rFonts w:eastAsiaTheme="minorHAnsi"/>
          <w:noProof/>
          <w:lang w:val="id-ID" w:eastAsia="id-ID"/>
        </w:rPr>
        <w:lastRenderedPageBreak/>
        <w:drawing>
          <wp:inline distT="0" distB="0" distL="0" distR="0">
            <wp:extent cx="4781321" cy="1983036"/>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0F5E" w:rsidRPr="006E0D4B" w:rsidRDefault="005E6BEA" w:rsidP="006E0D4B">
      <w:pPr>
        <w:pStyle w:val="ListParagraph"/>
        <w:ind w:left="1620" w:hanging="1620"/>
        <w:jc w:val="center"/>
        <w:rPr>
          <w:rFonts w:eastAsiaTheme="minorHAnsi"/>
          <w:b/>
        </w:rPr>
      </w:pPr>
      <w:r w:rsidRPr="006C7527">
        <w:rPr>
          <w:rFonts w:eastAsiaTheme="minorHAnsi"/>
          <w:b/>
        </w:rPr>
        <w:t xml:space="preserve">Gambar </w:t>
      </w:r>
      <w:r w:rsidR="00986168">
        <w:rPr>
          <w:rFonts w:eastAsiaTheme="minorHAnsi"/>
          <w:b/>
        </w:rPr>
        <w:t>1</w:t>
      </w:r>
      <w:r w:rsidRPr="006C7527">
        <w:rPr>
          <w:rFonts w:eastAsiaTheme="minorHAnsi"/>
          <w:b/>
        </w:rPr>
        <w:t xml:space="preserve">. </w:t>
      </w:r>
      <w:r w:rsidR="00290DD0">
        <w:rPr>
          <w:rFonts w:eastAsiaTheme="minorHAnsi"/>
          <w:b/>
        </w:rPr>
        <w:t>V</w:t>
      </w:r>
      <w:r w:rsidR="00290DD0" w:rsidRPr="006C7527">
        <w:rPr>
          <w:rFonts w:eastAsiaTheme="minorHAnsi"/>
          <w:b/>
        </w:rPr>
        <w:t xml:space="preserve">olume akar </w:t>
      </w:r>
      <w:r w:rsidR="00F25E50">
        <w:rPr>
          <w:rFonts w:eastAsiaTheme="minorHAnsi"/>
          <w:b/>
        </w:rPr>
        <w:t>t</w:t>
      </w:r>
      <w:r w:rsidR="00290DD0">
        <w:rPr>
          <w:rFonts w:eastAsiaTheme="minorHAnsi"/>
          <w:b/>
        </w:rPr>
        <w:t xml:space="preserve">erhadap </w:t>
      </w:r>
      <w:r w:rsidR="00B95DAC" w:rsidRPr="006C7527">
        <w:rPr>
          <w:rFonts w:eastAsiaTheme="minorHAnsi"/>
          <w:b/>
        </w:rPr>
        <w:t>pemberian</w:t>
      </w:r>
      <w:r w:rsidR="00C748D2" w:rsidRPr="006C7527">
        <w:rPr>
          <w:rFonts w:eastAsiaTheme="minorHAnsi"/>
          <w:b/>
        </w:rPr>
        <w:t xml:space="preserve"> </w:t>
      </w:r>
      <w:r w:rsidRPr="006C7527">
        <w:rPr>
          <w:rFonts w:eastAsiaTheme="minorHAnsi"/>
          <w:b/>
        </w:rPr>
        <w:t xml:space="preserve">kapang </w:t>
      </w:r>
      <w:r w:rsidR="00C748D2" w:rsidRPr="006C7527">
        <w:rPr>
          <w:rFonts w:eastAsiaTheme="minorHAnsi"/>
          <w:b/>
          <w:i/>
        </w:rPr>
        <w:t>A. niger</w:t>
      </w:r>
    </w:p>
    <w:p w:rsidR="00D043BC" w:rsidRPr="00365D0B" w:rsidRDefault="00D043BC" w:rsidP="00D043BC">
      <w:pPr>
        <w:pStyle w:val="ListParagraph"/>
        <w:ind w:left="0" w:firstLine="540"/>
        <w:jc w:val="both"/>
        <w:rPr>
          <w:rFonts w:eastAsiaTheme="minorHAnsi"/>
        </w:rPr>
      </w:pPr>
      <w:r>
        <w:rPr>
          <w:rFonts w:eastAsiaTheme="minorHAnsi"/>
        </w:rPr>
        <w:t>Berdasarkan hasil penelitian didapatkan bahwa perlakuan terbaik yang dapat menghasilkan volume akar yang besar adalah perlakuan a</w:t>
      </w:r>
      <w:r w:rsidRPr="00E73DA9">
        <w:rPr>
          <w:rFonts w:eastAsiaTheme="minorHAnsi"/>
          <w:vertAlign w:val="subscript"/>
        </w:rPr>
        <w:t>4</w:t>
      </w:r>
      <w:r>
        <w:rPr>
          <w:rFonts w:eastAsiaTheme="minorHAnsi"/>
          <w:vertAlign w:val="subscript"/>
        </w:rPr>
        <w:t xml:space="preserve">. </w:t>
      </w:r>
      <w:r w:rsidRPr="001C7F82">
        <w:rPr>
          <w:rFonts w:eastAsiaTheme="minorHAnsi"/>
        </w:rPr>
        <w:t xml:space="preserve">Hal ini </w:t>
      </w:r>
      <w:r>
        <w:rPr>
          <w:rFonts w:eastAsiaTheme="minorHAnsi"/>
        </w:rPr>
        <w:t xml:space="preserve">diduga </w:t>
      </w:r>
      <w:r w:rsidRPr="001C7F82">
        <w:rPr>
          <w:rFonts w:eastAsiaTheme="minorHAnsi"/>
        </w:rPr>
        <w:t xml:space="preserve">disebabkan adanya pengaruh kapang </w:t>
      </w:r>
      <w:r w:rsidRPr="001C7F82">
        <w:rPr>
          <w:i/>
        </w:rPr>
        <w:t xml:space="preserve">A. niger </w:t>
      </w:r>
      <w:r w:rsidRPr="001C7F82">
        <w:rPr>
          <w:rFonts w:eastAsiaTheme="minorHAnsi"/>
        </w:rPr>
        <w:t xml:space="preserve">yang menghasilkan fosfor namun memiliki sifat genus yang berbeda-beda. </w:t>
      </w:r>
      <w:r>
        <w:rPr>
          <w:rFonts w:eastAsiaTheme="minorHAnsi"/>
        </w:rPr>
        <w:t xml:space="preserve">Kemungkinan lain disebabkan konsentrasi jumlah konidia pada masing-masing kapang yang diberikan berbeda sehingga dapat menguraikan fosfor dalam jumlah yang banyak. </w:t>
      </w:r>
      <w:r w:rsidRPr="001C7F82">
        <w:rPr>
          <w:rFonts w:eastAsiaTheme="minorHAnsi"/>
        </w:rPr>
        <w:t xml:space="preserve">Sebagaimana yang dikatakan </w:t>
      </w:r>
      <w:r w:rsidRPr="001C7F82">
        <w:t xml:space="preserve">(Anastasiades, dkk, 2007 ; Ganesan dkk, 2007 ; Hossain dkk, 2007 ; Horinouchi dkk, 2007) bahwa </w:t>
      </w:r>
      <w:r w:rsidRPr="001C7F82">
        <w:rPr>
          <w:i/>
        </w:rPr>
        <w:t xml:space="preserve">A. niger </w:t>
      </w:r>
      <w:r w:rsidRPr="001C7F82">
        <w:t xml:space="preserve">tergolong jamur dengan pertumbuhan yang cepat atau </w:t>
      </w:r>
      <w:r w:rsidRPr="001C7F82">
        <w:rPr>
          <w:i/>
        </w:rPr>
        <w:t>Fast Growing</w:t>
      </w:r>
      <w:r w:rsidRPr="001C7F82">
        <w:t xml:space="preserve"> sedangkan </w:t>
      </w:r>
      <w:r w:rsidRPr="001C7F82">
        <w:rPr>
          <w:i/>
        </w:rPr>
        <w:t xml:space="preserve">G. virens </w:t>
      </w:r>
      <w:r w:rsidRPr="001C7F82">
        <w:t xml:space="preserve">merupakan jenis jamur dengan pertumbuhan lambat atau </w:t>
      </w:r>
      <w:r w:rsidRPr="001C7F82">
        <w:rPr>
          <w:i/>
        </w:rPr>
        <w:t xml:space="preserve">Slow Growing </w:t>
      </w:r>
      <w:r w:rsidRPr="001C7F82">
        <w:t xml:space="preserve">sehingga dalam penguraian unsur hara P membutuhkan waktu yang lama dalam menguraikan P. Menurut Menurut Purwono dan Hartono (2007) menyatakan bahwa besarnya volume akar dipengaruhi oleh banyaknya serapan hara P dalam tanah, sehingga akan berdampak kepada hasil fotosintesis yang diserap tanaman jagung. </w:t>
      </w:r>
    </w:p>
    <w:p w:rsidR="00D043BC" w:rsidRDefault="00D043BC" w:rsidP="00D043BC">
      <w:pPr>
        <w:pStyle w:val="ListParagraph"/>
        <w:ind w:left="0" w:firstLine="540"/>
        <w:jc w:val="both"/>
      </w:pPr>
      <w:r w:rsidRPr="001C7F82">
        <w:t>Berdasarkan analisis keragaman serapan hara P tanaman, perlakuan pemberian</w:t>
      </w:r>
      <w:r w:rsidRPr="001C7F82">
        <w:rPr>
          <w:i/>
        </w:rPr>
        <w:t xml:space="preserve"> G. virens </w:t>
      </w:r>
      <w:r w:rsidRPr="001C7F82">
        <w:t xml:space="preserve">berpengaruh tidak nyata demikian juga dengan kedua interaksi kapang tersebut namun pemberian </w:t>
      </w:r>
      <w:r w:rsidRPr="001C7F82">
        <w:rPr>
          <w:i/>
        </w:rPr>
        <w:t xml:space="preserve">A. niger </w:t>
      </w:r>
      <w:r w:rsidRPr="001C7F82">
        <w:t xml:space="preserve">berpengaruh nyata terhadap serapan P tanaman. </w:t>
      </w:r>
      <w:r>
        <w:t xml:space="preserve">Berdasarkan </w:t>
      </w:r>
      <w:r w:rsidRPr="001C7F82">
        <w:t xml:space="preserve">uji BNJ 5% </w:t>
      </w:r>
      <w:r>
        <w:t xml:space="preserve">pada Tabel 10 </w:t>
      </w:r>
      <w:r w:rsidRPr="001C7F82">
        <w:t>menunjukkan bahwa a</w:t>
      </w:r>
      <w:r w:rsidRPr="001C7F82">
        <w:rPr>
          <w:vertAlign w:val="subscript"/>
        </w:rPr>
        <w:t>1</w:t>
      </w:r>
      <w:r>
        <w:rPr>
          <w:vertAlign w:val="subscript"/>
        </w:rPr>
        <w:t xml:space="preserve">, </w:t>
      </w:r>
      <w:r w:rsidRPr="008442C0">
        <w:t>a</w:t>
      </w:r>
      <w:r w:rsidRPr="008442C0">
        <w:rPr>
          <w:vertAlign w:val="subscript"/>
        </w:rPr>
        <w:t xml:space="preserve">3, </w:t>
      </w:r>
      <w:r w:rsidRPr="001C7F82">
        <w:t>tidak berbeda nyata terhadap perlakuan a</w:t>
      </w:r>
      <w:r>
        <w:rPr>
          <w:vertAlign w:val="subscript"/>
        </w:rPr>
        <w:t>2</w:t>
      </w:r>
      <w:r w:rsidRPr="001C7F82">
        <w:t xml:space="preserve">, </w:t>
      </w:r>
      <w:r>
        <w:t xml:space="preserve">namun berbeda nyata terhadap perlakuan </w:t>
      </w:r>
      <w:r w:rsidRPr="001C7F82">
        <w:t>a</w:t>
      </w:r>
      <w:r w:rsidRPr="001C7F82">
        <w:rPr>
          <w:vertAlign w:val="subscript"/>
        </w:rPr>
        <w:t>4</w:t>
      </w:r>
      <w:r>
        <w:t>.</w:t>
      </w:r>
      <w:r w:rsidRPr="001C7F82">
        <w:t xml:space="preserve"> Sedangkan rerata BNJ 5% menyatakan perlakuan a</w:t>
      </w:r>
      <w:r w:rsidRPr="001C7F82">
        <w:rPr>
          <w:vertAlign w:val="subscript"/>
        </w:rPr>
        <w:t>4</w:t>
      </w:r>
      <w:r w:rsidRPr="001C7F82">
        <w:t xml:space="preserve"> lebih memberikan hasil serapan hara P yang baik. Hal ini menunjukkan bahwa kemampuan </w:t>
      </w:r>
      <w:r w:rsidRPr="001C7F82">
        <w:rPr>
          <w:i/>
        </w:rPr>
        <w:t xml:space="preserve">A. niger </w:t>
      </w:r>
      <w:r w:rsidRPr="001C7F82">
        <w:t>dalam menguraikan P mampu meningkatkan serapan P pada tanaman sehingga tanaman menyerap P untuk kebutuhan pertumbuhan</w:t>
      </w:r>
      <w:r>
        <w:t xml:space="preserve"> vegetatif tanaman. </w:t>
      </w:r>
      <w:r w:rsidRPr="0084366B">
        <w:t xml:space="preserve">Hal ini dapat dilihat pada Gambar </w:t>
      </w:r>
      <w:r>
        <w:t>2</w:t>
      </w:r>
      <w:r w:rsidRPr="0084366B">
        <w:t xml:space="preserve"> </w:t>
      </w:r>
      <w:r>
        <w:t xml:space="preserve">pemberian </w:t>
      </w:r>
      <w:r>
        <w:rPr>
          <w:i/>
        </w:rPr>
        <w:t xml:space="preserve">A. niger </w:t>
      </w:r>
      <w:r>
        <w:t>terhadap</w:t>
      </w:r>
      <w:r w:rsidRPr="0084366B">
        <w:t xml:space="preserve"> serapan P tanaman.</w:t>
      </w:r>
    </w:p>
    <w:p w:rsidR="00D043BC" w:rsidRDefault="00D043BC" w:rsidP="00D043BC">
      <w:pPr>
        <w:jc w:val="both"/>
        <w:rPr>
          <w:rFonts w:eastAsiaTheme="minorHAnsi"/>
        </w:rPr>
      </w:pPr>
    </w:p>
    <w:p w:rsidR="00D043BC" w:rsidRDefault="00D043BC" w:rsidP="00D043BC">
      <w:pPr>
        <w:jc w:val="both"/>
        <w:rPr>
          <w:rFonts w:eastAsiaTheme="minorHAnsi"/>
        </w:rPr>
      </w:pPr>
    </w:p>
    <w:p w:rsidR="00D043BC" w:rsidRDefault="00D043BC" w:rsidP="00641FA1">
      <w:pPr>
        <w:jc w:val="both"/>
        <w:rPr>
          <w:rFonts w:eastAsiaTheme="minorHAnsi"/>
        </w:rPr>
      </w:pPr>
    </w:p>
    <w:p w:rsidR="00D043BC" w:rsidRPr="00641FA1" w:rsidRDefault="00D043BC" w:rsidP="00641FA1">
      <w:pPr>
        <w:jc w:val="both"/>
        <w:rPr>
          <w:rFonts w:eastAsiaTheme="minorHAnsi"/>
        </w:rPr>
      </w:pPr>
    </w:p>
    <w:p w:rsidR="007403F4" w:rsidRPr="00BA79C8" w:rsidRDefault="00C367AE" w:rsidP="00BA79C8">
      <w:pPr>
        <w:pStyle w:val="ListParagraph"/>
        <w:ind w:left="0" w:firstLine="540"/>
        <w:jc w:val="both"/>
      </w:pPr>
      <w:r w:rsidRPr="00C367AE">
        <w:rPr>
          <w:noProof/>
          <w:lang w:val="id-ID" w:eastAsia="id-ID"/>
        </w:rPr>
        <w:lastRenderedPageBreak/>
        <w:drawing>
          <wp:inline distT="0" distB="0" distL="0" distR="0">
            <wp:extent cx="4693185" cy="2104222"/>
            <wp:effectExtent l="0" t="0" r="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67AE" w:rsidRPr="006E0D4B" w:rsidRDefault="007403F4" w:rsidP="006E0D4B">
      <w:pPr>
        <w:pStyle w:val="ListParagraph"/>
        <w:ind w:left="1620" w:hanging="1620"/>
        <w:jc w:val="center"/>
        <w:rPr>
          <w:rFonts w:eastAsiaTheme="minorHAnsi"/>
          <w:b/>
          <w:i/>
        </w:rPr>
      </w:pPr>
      <w:r w:rsidRPr="00C367AE">
        <w:rPr>
          <w:b/>
        </w:rPr>
        <w:t xml:space="preserve">Gambar </w:t>
      </w:r>
      <w:r w:rsidR="00FA6C4F">
        <w:rPr>
          <w:b/>
        </w:rPr>
        <w:t>2</w:t>
      </w:r>
      <w:r w:rsidRPr="00C367AE">
        <w:rPr>
          <w:b/>
        </w:rPr>
        <w:t>.</w:t>
      </w:r>
      <w:r>
        <w:t xml:space="preserve"> </w:t>
      </w:r>
      <w:r w:rsidR="00C367AE" w:rsidRPr="00C367AE">
        <w:rPr>
          <w:rFonts w:eastAsiaTheme="minorHAnsi"/>
          <w:b/>
        </w:rPr>
        <w:t>Serapan P</w:t>
      </w:r>
      <w:r w:rsidR="00C367AE" w:rsidRPr="00C367AE">
        <w:rPr>
          <w:b/>
        </w:rPr>
        <w:t xml:space="preserve"> terhadap pemberian</w:t>
      </w:r>
      <w:r w:rsidR="00C367AE" w:rsidRPr="00C367AE">
        <w:rPr>
          <w:rFonts w:eastAsiaTheme="minorHAnsi"/>
          <w:b/>
        </w:rPr>
        <w:t xml:space="preserve"> kapang </w:t>
      </w:r>
      <w:r w:rsidR="00C367AE" w:rsidRPr="00C367AE">
        <w:rPr>
          <w:rFonts w:eastAsiaTheme="minorHAnsi"/>
          <w:b/>
          <w:i/>
        </w:rPr>
        <w:t>A. niger</w:t>
      </w:r>
    </w:p>
    <w:p w:rsidR="00974551" w:rsidRDefault="00974551" w:rsidP="00974551">
      <w:pPr>
        <w:pStyle w:val="ListParagraph"/>
        <w:ind w:left="0" w:firstLine="540"/>
        <w:jc w:val="both"/>
      </w:pPr>
      <w:r w:rsidRPr="001C7F82">
        <w:t xml:space="preserve">Berdasarkan analisis keragaman </w:t>
      </w:r>
      <w:r>
        <w:t>pada variabel tinggi tanaman (Tabel 11)</w:t>
      </w:r>
      <w:r w:rsidRPr="001C7F82">
        <w:t xml:space="preserve">, </w:t>
      </w:r>
      <w:r>
        <w:t xml:space="preserve">menunjukkan bahwa </w:t>
      </w:r>
      <w:r w:rsidRPr="001C7F82">
        <w:t xml:space="preserve">perlakuan </w:t>
      </w:r>
      <w:r w:rsidRPr="001C7F82">
        <w:rPr>
          <w:i/>
        </w:rPr>
        <w:t xml:space="preserve">A. niger </w:t>
      </w:r>
      <w:r w:rsidRPr="001C7F82">
        <w:t xml:space="preserve">dan </w:t>
      </w:r>
      <w:r w:rsidRPr="001C7F82">
        <w:rPr>
          <w:i/>
        </w:rPr>
        <w:t xml:space="preserve">G. virens </w:t>
      </w:r>
      <w:r>
        <w:t xml:space="preserve">serta </w:t>
      </w:r>
      <w:r w:rsidRPr="001C7F82">
        <w:t>interaksi dari kedua kapang tersebut berpengaruh tidak nyata</w:t>
      </w:r>
      <w:r>
        <w:t>.</w:t>
      </w:r>
      <w:r w:rsidRPr="001C7F82">
        <w:t xml:space="preserve"> Hal ini kemungki</w:t>
      </w:r>
      <w:r>
        <w:t xml:space="preserve">nan diduga bahwa </w:t>
      </w:r>
      <w:r w:rsidRPr="001F37A3">
        <w:t>unsur hara yang diserap oleh tanama</w:t>
      </w:r>
      <w:r>
        <w:t>n</w:t>
      </w:r>
      <w:r w:rsidRPr="001F37A3">
        <w:t xml:space="preserve"> selama pertu</w:t>
      </w:r>
      <w:r>
        <w:t>m</w:t>
      </w:r>
      <w:r w:rsidRPr="001F37A3">
        <w:t xml:space="preserve">buhan relatif sama. </w:t>
      </w:r>
      <w:r>
        <w:t xml:space="preserve">Faktor genetis </w:t>
      </w:r>
      <w:r w:rsidRPr="001C7F82">
        <w:t xml:space="preserve">dari benih jagung itu sendiri menyebabkan tinggi tanaman mengalami stagnan sebelum mencapai fase vegetatif maksimum, dan tinggi tanaman diukur hingga </w:t>
      </w:r>
      <w:r>
        <w:t xml:space="preserve">tanaman mencapai umur ± 42 hari </w:t>
      </w:r>
      <w:r w:rsidRPr="001C7F82">
        <w:t xml:space="preserve">sehingga tinggi tanaman tidak berpengaruh nyata. </w:t>
      </w:r>
      <w:r>
        <w:t xml:space="preserve">Kemungkinan lain disebabkan adanya faktor lingkungan berupa tingginya curah hujan, suhu dan kelembaban selama pertumbuhan. </w:t>
      </w:r>
    </w:p>
    <w:p w:rsidR="00974551" w:rsidRDefault="00974551" w:rsidP="00974551">
      <w:pPr>
        <w:pStyle w:val="ListParagraph"/>
        <w:ind w:left="0" w:firstLine="540"/>
        <w:jc w:val="both"/>
      </w:pPr>
      <w:r>
        <w:t>Menurut Rukmana</w:t>
      </w:r>
      <w:r w:rsidRPr="001F37A3">
        <w:t xml:space="preserve"> </w:t>
      </w:r>
      <w:r>
        <w:t>(1997), d</w:t>
      </w:r>
      <w:r w:rsidRPr="001F37A3">
        <w:t xml:space="preserve">istribusi curah hujan ideal bagi pertumbuhan tanaman jagung adalah </w:t>
      </w:r>
      <w:r>
        <w:t>100-125 mm/</w:t>
      </w:r>
      <w:r w:rsidRPr="001F37A3">
        <w:t>b</w:t>
      </w:r>
      <w:r>
        <w:t>u</w:t>
      </w:r>
      <w:r w:rsidRPr="001F37A3">
        <w:t>l</w:t>
      </w:r>
      <w:r>
        <w:t>an</w:t>
      </w:r>
      <w:r w:rsidRPr="001F37A3">
        <w:t xml:space="preserve">. Data curah hujan pada bulan </w:t>
      </w:r>
      <w:r>
        <w:t>Januari</w:t>
      </w:r>
      <w:r w:rsidRPr="001F37A3">
        <w:t xml:space="preserve">, </w:t>
      </w:r>
      <w:r>
        <w:t xml:space="preserve">Februari, Maret </w:t>
      </w:r>
      <w:r w:rsidRPr="001F37A3">
        <w:t xml:space="preserve">dan </w:t>
      </w:r>
      <w:r>
        <w:t>April</w:t>
      </w:r>
      <w:r w:rsidRPr="001F37A3">
        <w:t xml:space="preserve"> </w:t>
      </w:r>
      <w:r>
        <w:t>berturut-</w:t>
      </w:r>
      <w:r w:rsidRPr="001F37A3">
        <w:t xml:space="preserve">turut </w:t>
      </w:r>
      <w:r>
        <w:t xml:space="preserve">71.66 </w:t>
      </w:r>
      <w:r w:rsidRPr="001F37A3">
        <w:t xml:space="preserve">mm, </w:t>
      </w:r>
      <w:r>
        <w:t xml:space="preserve">334.62 </w:t>
      </w:r>
      <w:r w:rsidRPr="001F37A3">
        <w:t>mm</w:t>
      </w:r>
      <w:r>
        <w:t xml:space="preserve">, dan 200.73 mm dan 419.86. </w:t>
      </w:r>
      <w:r w:rsidRPr="001F37A3">
        <w:t xml:space="preserve">Dilihat dari data curah hujan tersebut </w:t>
      </w:r>
      <w:r>
        <w:t>j</w:t>
      </w:r>
      <w:r w:rsidRPr="001F37A3">
        <w:t>i</w:t>
      </w:r>
      <w:r>
        <w:t>k</w:t>
      </w:r>
      <w:r w:rsidRPr="001F37A3">
        <w:t>a dihubungkan dengan hasil penelitian manunju</w:t>
      </w:r>
      <w:r>
        <w:t>k</w:t>
      </w:r>
      <w:r w:rsidRPr="001F37A3">
        <w:t xml:space="preserve">kan bahwa curah hujan </w:t>
      </w:r>
      <w:r>
        <w:t>(</w:t>
      </w:r>
      <w:r w:rsidRPr="001F37A3">
        <w:t>mm/bulan</w:t>
      </w:r>
      <w:r>
        <w:t>)</w:t>
      </w:r>
      <w:r w:rsidRPr="001F37A3">
        <w:t xml:space="preserve"> </w:t>
      </w:r>
      <w:r>
        <w:t>melebihi rata rata yang dibutuhkan</w:t>
      </w:r>
      <w:r w:rsidRPr="001F37A3">
        <w:t xml:space="preserve"> </w:t>
      </w:r>
      <w:r>
        <w:t>tanaman dalam masa pertumbuhan</w:t>
      </w:r>
      <w:r w:rsidRPr="001F37A3">
        <w:t xml:space="preserve"> sehingga kandungan air tanah meningkat dan menyebabkan tanah jenuh air. Keadaan ini tidak menguntungkan</w:t>
      </w:r>
      <w:r>
        <w:t xml:space="preserve"> respirasi akar dan pertumbuhan</w:t>
      </w:r>
      <w:r w:rsidRPr="001F37A3">
        <w:t>ny</w:t>
      </w:r>
      <w:r>
        <w:t>a, karena kelebihan air akan menyeba</w:t>
      </w:r>
      <w:r w:rsidRPr="001F37A3">
        <w:t>bkan udara tanah berkurang, akibatnya pertumbuhan berkurang, membatasi penyerap</w:t>
      </w:r>
      <w:r>
        <w:t>an hara dan air dan mempenga</w:t>
      </w:r>
      <w:r w:rsidRPr="001F37A3">
        <w:t>ruhi aktivitas mikroorganisme</w:t>
      </w:r>
      <w:r>
        <w:t xml:space="preserve"> kapang dalam tanah.</w:t>
      </w:r>
    </w:p>
    <w:p w:rsidR="00974551" w:rsidRPr="00886968" w:rsidRDefault="00974551" w:rsidP="00974551">
      <w:pPr>
        <w:pStyle w:val="ListParagraph"/>
        <w:ind w:left="0" w:firstLine="540"/>
        <w:jc w:val="both"/>
        <w:rPr>
          <w:bCs/>
        </w:rPr>
      </w:pPr>
      <w:r>
        <w:t xml:space="preserve">Dalam pertumbuhan tanaman, </w:t>
      </w:r>
      <w:r w:rsidRPr="00CC00C0">
        <w:t>faktor suhu merupakan faktor yang mempengaruhi proses fisiologi tanaman. Suhu akan mempengaruhi laju</w:t>
      </w:r>
      <w:r w:rsidRPr="001F37A3">
        <w:t xml:space="preserve"> pertumbuhan. Setiap tanaman menghendaki </w:t>
      </w:r>
      <w:r>
        <w:t>suhu</w:t>
      </w:r>
      <w:r w:rsidRPr="001F37A3">
        <w:t xml:space="preserve"> minimal tersendiri untuk tumbuh da</w:t>
      </w:r>
      <w:r>
        <w:t>n</w:t>
      </w:r>
      <w:r w:rsidRPr="001F37A3">
        <w:t xml:space="preserve"> berkembang.</w:t>
      </w:r>
      <w:r>
        <w:t xml:space="preserve"> </w:t>
      </w:r>
      <w:r w:rsidRPr="001F37A3">
        <w:t xml:space="preserve">Menurut </w:t>
      </w:r>
      <w:r>
        <w:t>Warisno (1998)</w:t>
      </w:r>
      <w:r w:rsidRPr="001F37A3">
        <w:t>, suhu optimum bagi pertumbuhan tanaman jagung berkisar antara 23</w:t>
      </w:r>
      <w:r>
        <w:t xml:space="preserve"> </w:t>
      </w:r>
      <w:r w:rsidRPr="001F37A3">
        <w:t>-</w:t>
      </w:r>
      <w:r>
        <w:t xml:space="preserve"> </w:t>
      </w:r>
      <w:r w:rsidRPr="001F37A3">
        <w:t xml:space="preserve">27 </w:t>
      </w:r>
      <w:r w:rsidRPr="006F0936">
        <w:rPr>
          <w:vertAlign w:val="superscript"/>
        </w:rPr>
        <w:t>0</w:t>
      </w:r>
      <w:r w:rsidRPr="001F37A3">
        <w:t>C. suhu yang rendah menyebabkan pertumbuhan tanaman terhambat</w:t>
      </w:r>
      <w:r>
        <w:t>. Berdasarkan suhu harian rata-rata selama penelitian berturut-turut pada bulan Januari</w:t>
      </w:r>
      <w:r w:rsidRPr="001F37A3">
        <w:t xml:space="preserve">, </w:t>
      </w:r>
      <w:r>
        <w:t xml:space="preserve">Februari, Maret </w:t>
      </w:r>
      <w:r w:rsidRPr="001F37A3">
        <w:t xml:space="preserve">dan </w:t>
      </w:r>
      <w:r>
        <w:t xml:space="preserve">April adalah </w:t>
      </w:r>
      <w:r w:rsidRPr="00B43399">
        <w:rPr>
          <w:bCs/>
        </w:rPr>
        <w:t>28</w:t>
      </w:r>
      <w:r>
        <w:rPr>
          <w:bCs/>
        </w:rPr>
        <w:t xml:space="preserve"> hingga 29</w:t>
      </w:r>
      <w:r w:rsidRPr="00B43399">
        <w:rPr>
          <w:bCs/>
          <w:vertAlign w:val="superscript"/>
        </w:rPr>
        <w:t>0</w:t>
      </w:r>
      <w:r>
        <w:rPr>
          <w:bCs/>
        </w:rPr>
        <w:t xml:space="preserve"> C. </w:t>
      </w:r>
      <w:r>
        <w:t xml:space="preserve">Kelebihan air </w:t>
      </w:r>
      <w:r w:rsidRPr="00504AEF">
        <w:t>ditunjukan dari tingginya kelembaban udara</w:t>
      </w:r>
      <w:r>
        <w:t xml:space="preserve"> selama penelitian berturut-turut pada bulan Januari</w:t>
      </w:r>
      <w:r w:rsidRPr="001F37A3">
        <w:t xml:space="preserve">, </w:t>
      </w:r>
      <w:r>
        <w:t xml:space="preserve">Februari, Maret </w:t>
      </w:r>
      <w:r w:rsidRPr="001F37A3">
        <w:t xml:space="preserve">dan </w:t>
      </w:r>
      <w:r>
        <w:t>April adalah 82.35%</w:t>
      </w:r>
      <w:r w:rsidRPr="001F37A3">
        <w:t>,</w:t>
      </w:r>
      <w:r>
        <w:t xml:space="preserve"> 82.86%, 79.43% dan 81.14%. </w:t>
      </w:r>
      <w:r w:rsidRPr="001F37A3">
        <w:t>Kelembaban ideal untuk tanaman jagung adalah 50</w:t>
      </w:r>
      <w:r>
        <w:t xml:space="preserve"> </w:t>
      </w:r>
      <w:r w:rsidRPr="001F37A3">
        <w:t>-</w:t>
      </w:r>
      <w:r w:rsidRPr="00886DE9">
        <w:t>80%.</w:t>
      </w:r>
      <w:r w:rsidRPr="005A692F">
        <w:rPr>
          <w:color w:val="FF0000"/>
        </w:rPr>
        <w:t xml:space="preserve"> </w:t>
      </w:r>
      <w:r>
        <w:t>C</w:t>
      </w:r>
      <w:r w:rsidRPr="001F37A3">
        <w:t xml:space="preserve">urah hujan yang tinggi </w:t>
      </w:r>
      <w:r>
        <w:t>akan</w:t>
      </w:r>
      <w:r w:rsidRPr="001F37A3">
        <w:t xml:space="preserve"> menyebabkan kelembaban yang tinggi</w:t>
      </w:r>
      <w:r>
        <w:t xml:space="preserve"> sehingga akan berpengaruh terhadap hasil fotosintesis tanaman.</w:t>
      </w:r>
    </w:p>
    <w:p w:rsidR="00974551" w:rsidRPr="0086299C" w:rsidRDefault="00974551" w:rsidP="00974551">
      <w:pPr>
        <w:pStyle w:val="ListParagraph"/>
        <w:ind w:left="0" w:firstLine="540"/>
        <w:jc w:val="both"/>
        <w:rPr>
          <w:b/>
        </w:rPr>
      </w:pPr>
      <w:r w:rsidRPr="001C7F82">
        <w:t xml:space="preserve">Tinggi tanaman ini akan mempengaruhi biomassa atau berat kering tanaman. Secara teori bahwa makin besar volume akar, makin besar penyerapan P dalam tanah maka makin tinggi tanaman semakin besar pula berat kering tanaman </w:t>
      </w:r>
      <w:r w:rsidRPr="001C7F82">
        <w:rPr>
          <w:rFonts w:eastAsiaTheme="minorHAnsi"/>
        </w:rPr>
        <w:lastRenderedPageBreak/>
        <w:t xml:space="preserve">Menurut </w:t>
      </w:r>
      <w:r w:rsidRPr="001C7F82">
        <w:rPr>
          <w:rFonts w:eastAsiaTheme="minorHAnsi"/>
          <w:lang w:val="id-ID"/>
        </w:rPr>
        <w:t>Fitter dan Hay (1981) menyatakan bahwa 90% b</w:t>
      </w:r>
      <w:r w:rsidRPr="001C7F82">
        <w:rPr>
          <w:rFonts w:eastAsiaTheme="minorHAnsi"/>
        </w:rPr>
        <w:t>obot</w:t>
      </w:r>
      <w:r w:rsidRPr="001C7F82">
        <w:rPr>
          <w:rFonts w:eastAsiaTheme="minorHAnsi"/>
          <w:lang w:val="id-ID"/>
        </w:rPr>
        <w:t xml:space="preserve"> kering tanaman </w:t>
      </w:r>
      <w:r w:rsidRPr="001C7F82">
        <w:rPr>
          <w:rFonts w:eastAsiaTheme="minorHAnsi"/>
        </w:rPr>
        <w:t xml:space="preserve">menggambarkan suatu </w:t>
      </w:r>
      <w:r w:rsidRPr="001C7F82">
        <w:rPr>
          <w:rFonts w:eastAsiaTheme="minorHAnsi"/>
          <w:lang w:val="id-ID"/>
        </w:rPr>
        <w:t>hasil fotosintesis</w:t>
      </w:r>
      <w:r w:rsidRPr="001C7F82">
        <w:rPr>
          <w:rFonts w:eastAsiaTheme="minorHAnsi"/>
        </w:rPr>
        <w:t xml:space="preserve"> selama pertumbuhan</w:t>
      </w:r>
      <w:r w:rsidRPr="001C7F82">
        <w:rPr>
          <w:rFonts w:eastAsiaTheme="minorHAnsi"/>
          <w:lang w:val="id-ID"/>
        </w:rPr>
        <w:t xml:space="preserve">. </w:t>
      </w:r>
      <w:r w:rsidRPr="001C7F82">
        <w:rPr>
          <w:rFonts w:eastAsiaTheme="minorHAnsi"/>
        </w:rPr>
        <w:t>Jika p</w:t>
      </w:r>
      <w:r w:rsidRPr="001C7F82">
        <w:rPr>
          <w:rFonts w:eastAsiaTheme="minorHAnsi"/>
          <w:lang w:val="id-ID"/>
        </w:rPr>
        <w:t xml:space="preserve">roses fotosintesis terhambat </w:t>
      </w:r>
      <w:r w:rsidRPr="001C7F82">
        <w:rPr>
          <w:rFonts w:eastAsiaTheme="minorHAnsi"/>
        </w:rPr>
        <w:t xml:space="preserve">maka akan berpengaruh terhadap </w:t>
      </w:r>
      <w:r w:rsidRPr="001C7F82">
        <w:rPr>
          <w:rFonts w:eastAsiaTheme="minorHAnsi"/>
          <w:lang w:val="id-ID"/>
        </w:rPr>
        <w:t>rendahnya b</w:t>
      </w:r>
      <w:r w:rsidRPr="001C7F82">
        <w:rPr>
          <w:rFonts w:eastAsiaTheme="minorHAnsi"/>
        </w:rPr>
        <w:t>obo</w:t>
      </w:r>
      <w:r w:rsidRPr="001C7F82">
        <w:rPr>
          <w:rFonts w:eastAsiaTheme="minorHAnsi"/>
          <w:lang w:val="id-ID"/>
        </w:rPr>
        <w:t>t kering tanaman.</w:t>
      </w:r>
    </w:p>
    <w:p w:rsidR="00974551" w:rsidRPr="00F46359" w:rsidRDefault="00974551" w:rsidP="00974551">
      <w:pPr>
        <w:pStyle w:val="ListParagraph"/>
        <w:ind w:left="0" w:firstLine="540"/>
        <w:jc w:val="both"/>
        <w:rPr>
          <w:noProof/>
        </w:rPr>
      </w:pPr>
      <w:r w:rsidRPr="001C7F82">
        <w:t xml:space="preserve">Berdasarkan </w:t>
      </w:r>
      <w:r>
        <w:t xml:space="preserve">hasil </w:t>
      </w:r>
      <w:r w:rsidRPr="001C7F82">
        <w:t xml:space="preserve">analisis keragaman </w:t>
      </w:r>
      <w:r>
        <w:t xml:space="preserve">pada variabel </w:t>
      </w:r>
      <w:r w:rsidRPr="001C7F82">
        <w:t xml:space="preserve">bobot kering tanaman </w:t>
      </w:r>
      <w:r>
        <w:t xml:space="preserve">(Tabel 12) menunjukkan bahwa </w:t>
      </w:r>
      <w:r w:rsidRPr="001C7F82">
        <w:t xml:space="preserve">perlakuan pemberian </w:t>
      </w:r>
      <w:r w:rsidRPr="001C7F82">
        <w:rPr>
          <w:i/>
        </w:rPr>
        <w:t xml:space="preserve">A. niger </w:t>
      </w:r>
      <w:r w:rsidRPr="001C7F82">
        <w:t xml:space="preserve">dan </w:t>
      </w:r>
      <w:r w:rsidRPr="001C7F82">
        <w:rPr>
          <w:i/>
        </w:rPr>
        <w:t xml:space="preserve">G. virens </w:t>
      </w:r>
      <w:r w:rsidRPr="000F7953">
        <w:t>serta interaksi antara keduanya berpengaruh nyata</w:t>
      </w:r>
      <w:r>
        <w:t>.</w:t>
      </w:r>
      <w:r>
        <w:rPr>
          <w:i/>
        </w:rPr>
        <w:t xml:space="preserve"> </w:t>
      </w:r>
      <w:r w:rsidRPr="001C7F82">
        <w:rPr>
          <w:noProof/>
        </w:rPr>
        <w:t xml:space="preserve">Hasil uji BNJ 5% menunjukkan bahwa </w:t>
      </w:r>
      <w:r w:rsidRPr="001C7F82">
        <w:rPr>
          <w:noProof/>
          <w:lang w:val="id-ID"/>
        </w:rPr>
        <w:t xml:space="preserve">perlakuan </w:t>
      </w:r>
      <w:r w:rsidRPr="00F46359">
        <w:t>a</w:t>
      </w:r>
      <w:r w:rsidRPr="00F46359">
        <w:rPr>
          <w:vertAlign w:val="subscript"/>
        </w:rPr>
        <w:t>1</w:t>
      </w:r>
      <w:r w:rsidRPr="00F46359">
        <w:t>g</w:t>
      </w:r>
      <w:r w:rsidRPr="00F46359">
        <w:rPr>
          <w:vertAlign w:val="subscript"/>
        </w:rPr>
        <w:t xml:space="preserve">2,  </w:t>
      </w:r>
      <w:r w:rsidRPr="00F46359">
        <w:t>a</w:t>
      </w:r>
      <w:r w:rsidRPr="00F46359">
        <w:rPr>
          <w:vertAlign w:val="subscript"/>
        </w:rPr>
        <w:t>1</w:t>
      </w:r>
      <w:r w:rsidRPr="00F46359">
        <w:t>g</w:t>
      </w:r>
      <w:r w:rsidRPr="00F46359">
        <w:rPr>
          <w:vertAlign w:val="subscript"/>
        </w:rPr>
        <w:t>4</w:t>
      </w:r>
      <w:r w:rsidRPr="00F46359">
        <w:t>, a</w:t>
      </w:r>
      <w:r w:rsidRPr="00F46359">
        <w:rPr>
          <w:vertAlign w:val="subscript"/>
        </w:rPr>
        <w:t>2</w:t>
      </w:r>
      <w:r w:rsidRPr="00F46359">
        <w:t>g</w:t>
      </w:r>
      <w:r w:rsidRPr="00F46359">
        <w:rPr>
          <w:vertAlign w:val="subscript"/>
        </w:rPr>
        <w:t xml:space="preserve">1, </w:t>
      </w:r>
      <w:r w:rsidRPr="00F46359">
        <w:t>a</w:t>
      </w:r>
      <w:r w:rsidRPr="00F46359">
        <w:rPr>
          <w:vertAlign w:val="subscript"/>
        </w:rPr>
        <w:t>3</w:t>
      </w:r>
      <w:r w:rsidRPr="00F46359">
        <w:t>g</w:t>
      </w:r>
      <w:r w:rsidRPr="00F46359">
        <w:rPr>
          <w:vertAlign w:val="subscript"/>
        </w:rPr>
        <w:t>1</w:t>
      </w:r>
      <w:r w:rsidRPr="00F46359">
        <w:t>, a</w:t>
      </w:r>
      <w:r w:rsidRPr="00F46359">
        <w:rPr>
          <w:vertAlign w:val="subscript"/>
        </w:rPr>
        <w:t>2</w:t>
      </w:r>
      <w:r w:rsidRPr="00F46359">
        <w:t>g</w:t>
      </w:r>
      <w:r w:rsidRPr="00F46359">
        <w:rPr>
          <w:vertAlign w:val="subscript"/>
        </w:rPr>
        <w:t xml:space="preserve">3, </w:t>
      </w:r>
      <w:r w:rsidRPr="00F46359">
        <w:t>a</w:t>
      </w:r>
      <w:r w:rsidRPr="00F46359">
        <w:rPr>
          <w:vertAlign w:val="subscript"/>
        </w:rPr>
        <w:t>3</w:t>
      </w:r>
      <w:r w:rsidRPr="00F46359">
        <w:t>g</w:t>
      </w:r>
      <w:r w:rsidRPr="00F46359">
        <w:rPr>
          <w:vertAlign w:val="subscript"/>
        </w:rPr>
        <w:t xml:space="preserve">4, </w:t>
      </w:r>
      <w:r w:rsidRPr="00F46359">
        <w:t>a</w:t>
      </w:r>
      <w:r w:rsidRPr="00F46359">
        <w:rPr>
          <w:vertAlign w:val="subscript"/>
        </w:rPr>
        <w:t>3</w:t>
      </w:r>
      <w:r w:rsidRPr="00F46359">
        <w:t>g</w:t>
      </w:r>
      <w:r w:rsidRPr="00F46359">
        <w:rPr>
          <w:vertAlign w:val="subscript"/>
        </w:rPr>
        <w:t xml:space="preserve">2, </w:t>
      </w:r>
      <w:r w:rsidRPr="00F46359">
        <w:t>a</w:t>
      </w:r>
      <w:r w:rsidRPr="00F46359">
        <w:rPr>
          <w:vertAlign w:val="subscript"/>
        </w:rPr>
        <w:t>2</w:t>
      </w:r>
      <w:r w:rsidRPr="00F46359">
        <w:t>g</w:t>
      </w:r>
      <w:r w:rsidRPr="00F46359">
        <w:rPr>
          <w:vertAlign w:val="subscript"/>
        </w:rPr>
        <w:t xml:space="preserve">2, </w:t>
      </w:r>
      <w:r w:rsidRPr="00F46359">
        <w:t>a</w:t>
      </w:r>
      <w:r w:rsidRPr="00F46359">
        <w:rPr>
          <w:vertAlign w:val="subscript"/>
        </w:rPr>
        <w:t>2</w:t>
      </w:r>
      <w:r w:rsidRPr="00F46359">
        <w:t>g</w:t>
      </w:r>
      <w:r w:rsidRPr="00F46359">
        <w:rPr>
          <w:vertAlign w:val="subscript"/>
        </w:rPr>
        <w:t xml:space="preserve">4, </w:t>
      </w:r>
      <w:r w:rsidRPr="00F46359">
        <w:t>a</w:t>
      </w:r>
      <w:r w:rsidRPr="00F46359">
        <w:rPr>
          <w:vertAlign w:val="subscript"/>
        </w:rPr>
        <w:t>1</w:t>
      </w:r>
      <w:r w:rsidRPr="00F46359">
        <w:t>g</w:t>
      </w:r>
      <w:r w:rsidRPr="00F46359">
        <w:rPr>
          <w:vertAlign w:val="subscript"/>
        </w:rPr>
        <w:t xml:space="preserve">1, </w:t>
      </w:r>
      <w:r w:rsidRPr="00F46359">
        <w:t>a</w:t>
      </w:r>
      <w:r w:rsidRPr="00F46359">
        <w:rPr>
          <w:vertAlign w:val="subscript"/>
        </w:rPr>
        <w:t>4</w:t>
      </w:r>
      <w:r w:rsidRPr="00F46359">
        <w:t>g</w:t>
      </w:r>
      <w:r w:rsidRPr="00F46359">
        <w:rPr>
          <w:vertAlign w:val="subscript"/>
        </w:rPr>
        <w:t xml:space="preserve">3, </w:t>
      </w:r>
      <w:r w:rsidRPr="00F46359">
        <w:t>a</w:t>
      </w:r>
      <w:r w:rsidRPr="00F46359">
        <w:rPr>
          <w:vertAlign w:val="subscript"/>
        </w:rPr>
        <w:t>3</w:t>
      </w:r>
      <w:r w:rsidRPr="00F46359">
        <w:t>g</w:t>
      </w:r>
      <w:r w:rsidRPr="00F46359">
        <w:rPr>
          <w:vertAlign w:val="subscript"/>
        </w:rPr>
        <w:t xml:space="preserve">3, </w:t>
      </w:r>
      <w:r w:rsidRPr="00F46359">
        <w:t>a</w:t>
      </w:r>
      <w:r w:rsidRPr="00F46359">
        <w:rPr>
          <w:vertAlign w:val="subscript"/>
        </w:rPr>
        <w:t>4</w:t>
      </w:r>
      <w:r w:rsidRPr="00F46359">
        <w:t>g</w:t>
      </w:r>
      <w:r w:rsidRPr="00F46359">
        <w:rPr>
          <w:vertAlign w:val="subscript"/>
        </w:rPr>
        <w:t>1</w:t>
      </w:r>
      <w:r>
        <w:rPr>
          <w:vertAlign w:val="subscript"/>
        </w:rPr>
        <w:t xml:space="preserve"> </w:t>
      </w:r>
      <w:r>
        <w:rPr>
          <w:noProof/>
        </w:rPr>
        <w:t xml:space="preserve">tidak berbeda nyata namun berbeda nyata terhadap perlakuan </w:t>
      </w:r>
      <w:r w:rsidRPr="00F46359">
        <w:t>a</w:t>
      </w:r>
      <w:r w:rsidRPr="00F46359">
        <w:rPr>
          <w:vertAlign w:val="subscript"/>
        </w:rPr>
        <w:t>4</w:t>
      </w:r>
      <w:r w:rsidRPr="00F46359">
        <w:t>g</w:t>
      </w:r>
      <w:r w:rsidRPr="00F46359">
        <w:rPr>
          <w:vertAlign w:val="subscript"/>
        </w:rPr>
        <w:t>2</w:t>
      </w:r>
      <w:r w:rsidRPr="00F46359">
        <w:t xml:space="preserve"> dan a</w:t>
      </w:r>
      <w:r w:rsidRPr="00F46359">
        <w:rPr>
          <w:vertAlign w:val="subscript"/>
        </w:rPr>
        <w:t>4</w:t>
      </w:r>
      <w:r w:rsidRPr="00F46359">
        <w:t>g</w:t>
      </w:r>
      <w:r w:rsidRPr="00F46359">
        <w:rPr>
          <w:vertAlign w:val="subscript"/>
        </w:rPr>
        <w:t>4</w:t>
      </w:r>
      <w:r w:rsidRPr="00F46359">
        <w:t>.</w:t>
      </w:r>
      <w:r>
        <w:t xml:space="preserve"> </w:t>
      </w:r>
      <w:r w:rsidRPr="001C7F82">
        <w:t>P</w:t>
      </w:r>
      <w:r w:rsidRPr="001C7F82">
        <w:rPr>
          <w:lang w:val="id-ID"/>
        </w:rPr>
        <w:t xml:space="preserve">erlakuan </w:t>
      </w:r>
      <w:r w:rsidRPr="001C7F82">
        <w:t>a</w:t>
      </w:r>
      <w:r w:rsidRPr="001C7F82">
        <w:rPr>
          <w:vertAlign w:val="subscript"/>
        </w:rPr>
        <w:t>4</w:t>
      </w:r>
      <w:r w:rsidRPr="001C7F82">
        <w:rPr>
          <w:vertAlign w:val="subscript"/>
          <w:lang w:val="id-ID"/>
        </w:rPr>
        <w:t xml:space="preserve"> </w:t>
      </w:r>
      <w:r w:rsidRPr="001C7F82">
        <w:t xml:space="preserve"> yaitu takaran 25 ml suspensi memberikan pengaruh </w:t>
      </w:r>
      <w:r w:rsidRPr="001C7F82">
        <w:rPr>
          <w:lang w:val="id-ID"/>
        </w:rPr>
        <w:t xml:space="preserve">nyata </w:t>
      </w:r>
      <w:r w:rsidRPr="001C7F82">
        <w:t>dibanding dengan</w:t>
      </w:r>
      <w:r w:rsidRPr="001C7F82">
        <w:rPr>
          <w:lang w:val="id-ID"/>
        </w:rPr>
        <w:t xml:space="preserve"> perlakuan</w:t>
      </w:r>
      <w:r w:rsidRPr="001C7F82">
        <w:rPr>
          <w:vertAlign w:val="subscript"/>
        </w:rPr>
        <w:t xml:space="preserve"> </w:t>
      </w:r>
      <w:r w:rsidRPr="001C7F82">
        <w:t>a</w:t>
      </w:r>
      <w:r w:rsidRPr="00C51EEC">
        <w:rPr>
          <w:vertAlign w:val="subscript"/>
        </w:rPr>
        <w:t>0</w:t>
      </w:r>
      <w:r w:rsidRPr="001C7F82">
        <w:t>, a</w:t>
      </w:r>
      <w:r w:rsidRPr="00C51EEC">
        <w:rPr>
          <w:vertAlign w:val="subscript"/>
        </w:rPr>
        <w:t>1</w:t>
      </w:r>
      <w:r w:rsidRPr="001C7F82">
        <w:t>, a</w:t>
      </w:r>
      <w:r w:rsidRPr="00C51EEC">
        <w:rPr>
          <w:vertAlign w:val="subscript"/>
        </w:rPr>
        <w:t>2</w:t>
      </w:r>
      <w:r w:rsidRPr="001C7F82">
        <w:t xml:space="preserve"> dan a</w:t>
      </w:r>
      <w:r w:rsidRPr="00C51EEC">
        <w:rPr>
          <w:vertAlign w:val="subscript"/>
        </w:rPr>
        <w:t>3</w:t>
      </w:r>
      <w:r w:rsidRPr="001C7F82">
        <w:rPr>
          <w:lang w:val="id-ID"/>
        </w:rPr>
        <w:t xml:space="preserve"> </w:t>
      </w:r>
      <w:r w:rsidRPr="001C7F82">
        <w:t>Demikian juga dengan perlakuan g</w:t>
      </w:r>
      <w:r w:rsidRPr="00F46359">
        <w:rPr>
          <w:vertAlign w:val="subscript"/>
        </w:rPr>
        <w:t>4</w:t>
      </w:r>
      <w:r w:rsidRPr="001C7F82">
        <w:t xml:space="preserve"> lebih baik dibanding dengan pemberian g</w:t>
      </w:r>
      <w:r w:rsidRPr="001C7F82">
        <w:rPr>
          <w:vertAlign w:val="subscript"/>
        </w:rPr>
        <w:t>1</w:t>
      </w:r>
      <w:r w:rsidRPr="001C7F82">
        <w:t>, g</w:t>
      </w:r>
      <w:r w:rsidRPr="001C7F82">
        <w:rPr>
          <w:vertAlign w:val="subscript"/>
        </w:rPr>
        <w:t>2</w:t>
      </w:r>
      <w:r w:rsidRPr="001C7F82">
        <w:t>, dan g</w:t>
      </w:r>
      <w:r w:rsidRPr="001C7F82">
        <w:rPr>
          <w:vertAlign w:val="subscript"/>
        </w:rPr>
        <w:t>3</w:t>
      </w:r>
      <w:r w:rsidRPr="001C7F82">
        <w:rPr>
          <w:i/>
        </w:rPr>
        <w:t xml:space="preserve">. </w:t>
      </w:r>
      <w:r w:rsidRPr="008907E6">
        <w:t xml:space="preserve">Hal ini dapat dilihat pada Gambar </w:t>
      </w:r>
      <w:r>
        <w:t xml:space="preserve">3 </w:t>
      </w:r>
      <w:r w:rsidRPr="008907E6">
        <w:t>perbandingan interaksi antar</w:t>
      </w:r>
      <w:r>
        <w:t>a</w:t>
      </w:r>
      <w:r w:rsidRPr="008907E6">
        <w:t xml:space="preserve"> kedua kapang terhadap bobot kering tanaman.</w:t>
      </w:r>
    </w:p>
    <w:p w:rsidR="007929F0" w:rsidRDefault="00974551" w:rsidP="004E2119">
      <w:pPr>
        <w:autoSpaceDE w:val="0"/>
        <w:autoSpaceDN w:val="0"/>
        <w:adjustRightInd w:val="0"/>
        <w:jc w:val="both"/>
      </w:pPr>
      <w:r w:rsidRPr="00974551">
        <w:rPr>
          <w:noProof/>
          <w:lang w:val="id-ID" w:eastAsia="id-ID"/>
        </w:rPr>
        <w:drawing>
          <wp:inline distT="0" distB="0" distL="0" distR="0">
            <wp:extent cx="4931229" cy="2362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4551" w:rsidRPr="006E0D4B" w:rsidRDefault="00974551" w:rsidP="006E0D4B">
      <w:pPr>
        <w:pStyle w:val="ListParagraph"/>
        <w:ind w:left="1080" w:hanging="1080"/>
        <w:rPr>
          <w:rFonts w:eastAsiaTheme="minorHAnsi"/>
          <w:b/>
        </w:rPr>
      </w:pPr>
      <w:r w:rsidRPr="000C2BE8">
        <w:rPr>
          <w:b/>
        </w:rPr>
        <w:t xml:space="preserve">Gambar </w:t>
      </w:r>
      <w:r>
        <w:rPr>
          <w:b/>
        </w:rPr>
        <w:t xml:space="preserve">7. </w:t>
      </w:r>
      <w:r w:rsidRPr="00A8566E">
        <w:rPr>
          <w:b/>
        </w:rPr>
        <w:t>Bobot kering tanaman terhadap</w:t>
      </w:r>
      <w:r w:rsidRPr="00A8566E">
        <w:rPr>
          <w:rFonts w:eastAsiaTheme="minorHAnsi"/>
          <w:b/>
        </w:rPr>
        <w:t xml:space="preserve"> pemberian kapang </w:t>
      </w:r>
      <w:r w:rsidRPr="00A8566E">
        <w:rPr>
          <w:rFonts w:eastAsiaTheme="minorHAnsi"/>
          <w:b/>
          <w:i/>
        </w:rPr>
        <w:t xml:space="preserve">A. niger </w:t>
      </w:r>
      <w:r w:rsidRPr="00A8566E">
        <w:rPr>
          <w:rFonts w:eastAsiaTheme="minorHAnsi"/>
          <w:b/>
        </w:rPr>
        <w:t xml:space="preserve">dan </w:t>
      </w:r>
      <w:r w:rsidRPr="00A8566E">
        <w:rPr>
          <w:rFonts w:eastAsiaTheme="minorHAnsi"/>
          <w:b/>
          <w:i/>
        </w:rPr>
        <w:t>G. virens</w:t>
      </w:r>
    </w:p>
    <w:p w:rsidR="00974551" w:rsidRPr="000026B0" w:rsidRDefault="006E0D4B" w:rsidP="000026B0">
      <w:pPr>
        <w:pStyle w:val="ListParagraph"/>
        <w:ind w:left="0" w:firstLine="540"/>
        <w:jc w:val="both"/>
      </w:pPr>
      <w:r w:rsidRPr="001C7F82">
        <w:t xml:space="preserve">Kapang </w:t>
      </w:r>
      <w:r w:rsidRPr="001C7F82">
        <w:rPr>
          <w:i/>
        </w:rPr>
        <w:t xml:space="preserve">A. niger </w:t>
      </w:r>
      <w:r w:rsidRPr="001C7F82">
        <w:t xml:space="preserve">dan </w:t>
      </w:r>
      <w:r w:rsidRPr="001C7F82">
        <w:rPr>
          <w:i/>
        </w:rPr>
        <w:t>G. virens</w:t>
      </w:r>
      <w:r w:rsidRPr="001C7F82">
        <w:t xml:space="preserve"> dalam melarutkan fosfat mengeluarkan enzim fosfatase dan menghasilkan asam-asam organik diantaranya asam sitrat, glutamat, suksinat, laktat, oksalat, glioksalat, malat, fumarat, tartarat, dan </w:t>
      </w:r>
      <w:r w:rsidRPr="001C7F82">
        <w:rPr>
          <w:rFonts w:ascii="Calibri" w:hAnsi="Calibri"/>
        </w:rPr>
        <w:t>α</w:t>
      </w:r>
      <w:r w:rsidRPr="001C7F82">
        <w:t>-ketobutirat (Alexander, 1978 ; Rao. S, 1994 ; Ilmer dkk</w:t>
      </w:r>
      <w:r w:rsidRPr="001C7F82">
        <w:rPr>
          <w:i/>
        </w:rPr>
        <w:t>.,</w:t>
      </w:r>
      <w:r w:rsidRPr="001C7F82">
        <w:t xml:space="preserve">1995; Beaucamp dan Hume, 1997). Meningkatnya asam-asam organik tersebut mengakibatkan penurunan pH tanah sehingga terjadilah pelarutan P yang terikat oleh bahan organik. Menurut Dawes dan Sutherland (1976) asam-asam organik yang dihasilkan kapang digunakan sebagai bentuk daya saing untuk bertahan hidup dan kebutuhan substrat makanan proses anabolisme dalam sintesis asam amino dan makromolekul lain. </w:t>
      </w:r>
    </w:p>
    <w:p w:rsidR="00AB63DA" w:rsidRPr="003749D9" w:rsidRDefault="00AB63DA" w:rsidP="00E31F97">
      <w:pPr>
        <w:jc w:val="center"/>
        <w:rPr>
          <w:b/>
        </w:rPr>
      </w:pPr>
      <w:r w:rsidRPr="003749D9">
        <w:rPr>
          <w:b/>
        </w:rPr>
        <w:t>BAB V</w:t>
      </w:r>
    </w:p>
    <w:p w:rsidR="00AB63DA" w:rsidRPr="003749D9" w:rsidRDefault="00AB63DA" w:rsidP="00D50D62">
      <w:pPr>
        <w:jc w:val="center"/>
        <w:rPr>
          <w:b/>
        </w:rPr>
      </w:pPr>
      <w:r w:rsidRPr="003749D9">
        <w:rPr>
          <w:b/>
        </w:rPr>
        <w:t>PENUTUP</w:t>
      </w:r>
    </w:p>
    <w:p w:rsidR="000026B0" w:rsidRPr="003749D9" w:rsidRDefault="00CE3C6A" w:rsidP="00CE3C6A">
      <w:pPr>
        <w:tabs>
          <w:tab w:val="left" w:pos="426"/>
        </w:tabs>
        <w:jc w:val="both"/>
        <w:rPr>
          <w:b/>
          <w:bCs/>
        </w:rPr>
      </w:pPr>
      <w:r w:rsidRPr="003749D9">
        <w:rPr>
          <w:b/>
          <w:bCs/>
        </w:rPr>
        <w:t xml:space="preserve">A.  </w:t>
      </w:r>
      <w:r w:rsidRPr="003749D9">
        <w:rPr>
          <w:b/>
          <w:bCs/>
        </w:rPr>
        <w:tab/>
        <w:t>Kesimpulan</w:t>
      </w:r>
    </w:p>
    <w:p w:rsidR="00CE3C6A" w:rsidRPr="003749D9" w:rsidRDefault="00CE3C6A" w:rsidP="00CE3C6A">
      <w:pPr>
        <w:tabs>
          <w:tab w:val="left" w:pos="426"/>
        </w:tabs>
        <w:jc w:val="both"/>
      </w:pPr>
      <w:r w:rsidRPr="003749D9">
        <w:tab/>
        <w:t>Berdasarkan hasil penelitian dapat disimpulkan :</w:t>
      </w:r>
    </w:p>
    <w:p w:rsidR="00CE3C6A" w:rsidRDefault="0062438C" w:rsidP="00CE3C6A">
      <w:pPr>
        <w:pStyle w:val="ListParagraph"/>
        <w:numPr>
          <w:ilvl w:val="0"/>
          <w:numId w:val="8"/>
        </w:numPr>
        <w:spacing w:after="200"/>
        <w:jc w:val="both"/>
      </w:pPr>
      <w:r>
        <w:rPr>
          <w:lang w:val="id-ID"/>
        </w:rPr>
        <w:t>Hasil</w:t>
      </w:r>
      <w:r>
        <w:t xml:space="preserve"> </w:t>
      </w:r>
      <w:r>
        <w:rPr>
          <w:lang w:val="id-ID"/>
        </w:rPr>
        <w:t>penelitian</w:t>
      </w:r>
      <w:r>
        <w:t xml:space="preserve"> </w:t>
      </w:r>
      <w:r w:rsidR="00CE3C6A" w:rsidRPr="002C7893">
        <w:rPr>
          <w:lang w:val="id-ID"/>
        </w:rPr>
        <w:t xml:space="preserve">menunjukkan bahwa tanaman </w:t>
      </w:r>
      <w:r w:rsidR="00CE3C6A" w:rsidRPr="002C7893">
        <w:t xml:space="preserve">jagung </w:t>
      </w:r>
      <w:r w:rsidR="00CE3C6A" w:rsidRPr="002C7893">
        <w:rPr>
          <w:lang w:val="id-ID"/>
        </w:rPr>
        <w:t xml:space="preserve">yang diberi perlakuan </w:t>
      </w:r>
      <w:r>
        <w:t>sebanyak 25 ml suspens</w:t>
      </w:r>
      <w:r w:rsidR="007929F0">
        <w:t>i</w:t>
      </w:r>
      <w:r>
        <w:t xml:space="preserve"> </w:t>
      </w:r>
      <w:r w:rsidRPr="002C7893">
        <w:t>kapang pelarut fosfat</w:t>
      </w:r>
      <w:r w:rsidRPr="002C7893">
        <w:rPr>
          <w:lang w:val="id-ID"/>
        </w:rPr>
        <w:t xml:space="preserve"> </w:t>
      </w:r>
      <w:r w:rsidRPr="002C7893">
        <w:rPr>
          <w:i/>
        </w:rPr>
        <w:t xml:space="preserve">A. niger </w:t>
      </w:r>
      <w:r w:rsidR="00CE3C6A" w:rsidRPr="002C7893">
        <w:t>memberikan hasil yang baik terhadap pertumbuhan berupa besarnya volume akar, bobot</w:t>
      </w:r>
      <w:r w:rsidR="00CE3C6A">
        <w:t xml:space="preserve"> kering tanaman, dan serapan hara P.</w:t>
      </w:r>
    </w:p>
    <w:p w:rsidR="003677A3" w:rsidRDefault="003677A3" w:rsidP="003677A3">
      <w:pPr>
        <w:pStyle w:val="ListParagraph"/>
        <w:numPr>
          <w:ilvl w:val="0"/>
          <w:numId w:val="8"/>
        </w:numPr>
        <w:spacing w:after="200"/>
        <w:jc w:val="both"/>
      </w:pPr>
      <w:r w:rsidRPr="00C87EBB">
        <w:t xml:space="preserve">Pemberian kapang antara </w:t>
      </w:r>
      <w:r w:rsidRPr="003677A3">
        <w:rPr>
          <w:i/>
        </w:rPr>
        <w:t xml:space="preserve">A. niger </w:t>
      </w:r>
      <w:r w:rsidRPr="00C87EBB">
        <w:t>dan</w:t>
      </w:r>
      <w:r w:rsidRPr="003677A3">
        <w:rPr>
          <w:i/>
        </w:rPr>
        <w:t xml:space="preserve"> G. virens </w:t>
      </w:r>
      <w:r w:rsidRPr="00C87EBB">
        <w:t>terhadap semua variabel pengamatan menunjukkan tidak bekerja secara sinergis</w:t>
      </w:r>
      <w:r>
        <w:t xml:space="preserve"> khususnya terhadap ketersediaan P.</w:t>
      </w:r>
    </w:p>
    <w:p w:rsidR="003677A3" w:rsidRPr="00955C92" w:rsidRDefault="003677A3" w:rsidP="003677A3">
      <w:pPr>
        <w:pStyle w:val="ListParagraph"/>
        <w:numPr>
          <w:ilvl w:val="0"/>
          <w:numId w:val="8"/>
        </w:numPr>
        <w:spacing w:after="200"/>
        <w:jc w:val="both"/>
      </w:pPr>
      <w:r w:rsidRPr="00955C92">
        <w:lastRenderedPageBreak/>
        <w:t>Berdasarkan hasil penelitian hipotesis yang diajukan di</w:t>
      </w:r>
      <w:r>
        <w:t>terima</w:t>
      </w:r>
      <w:r w:rsidRPr="00955C92">
        <w:t xml:space="preserve">. </w:t>
      </w:r>
    </w:p>
    <w:p w:rsidR="00FE20D9" w:rsidRPr="009C1F21" w:rsidRDefault="003677A3" w:rsidP="00FE20D9">
      <w:pPr>
        <w:pStyle w:val="ListParagraph"/>
        <w:numPr>
          <w:ilvl w:val="0"/>
          <w:numId w:val="8"/>
        </w:numPr>
        <w:spacing w:after="200"/>
        <w:jc w:val="both"/>
      </w:pPr>
      <w:r w:rsidRPr="00955C92">
        <w:t>Pemanfaatan kapang</w:t>
      </w:r>
      <w:r w:rsidRPr="00955C92">
        <w:rPr>
          <w:i/>
        </w:rPr>
        <w:t xml:space="preserve"> A. niger</w:t>
      </w:r>
      <w:r w:rsidRPr="00955C92">
        <w:t xml:space="preserve"> </w:t>
      </w:r>
      <w:r>
        <w:t xml:space="preserve">yang bersifat pelarut fosfat, </w:t>
      </w:r>
      <w:r w:rsidRPr="00955C92">
        <w:t xml:space="preserve">dapat dijadikan rekomendasi sebagai pupuk hayati ramah lingkungan yang dapat memperbaiki mutu dan kualitas tanah maupun </w:t>
      </w:r>
      <w:r>
        <w:t>serapan P</w:t>
      </w:r>
      <w:r w:rsidRPr="00955C92">
        <w:t xml:space="preserve"> tanaman.</w:t>
      </w:r>
    </w:p>
    <w:p w:rsidR="00A56881" w:rsidRPr="003749D9" w:rsidRDefault="00CE3C6A" w:rsidP="00CE3C6A">
      <w:pPr>
        <w:tabs>
          <w:tab w:val="left" w:pos="426"/>
        </w:tabs>
        <w:jc w:val="both"/>
        <w:rPr>
          <w:b/>
          <w:bCs/>
        </w:rPr>
      </w:pPr>
      <w:r w:rsidRPr="003749D9">
        <w:rPr>
          <w:b/>
          <w:bCs/>
        </w:rPr>
        <w:t xml:space="preserve">B.  </w:t>
      </w:r>
      <w:r w:rsidRPr="003749D9">
        <w:rPr>
          <w:b/>
          <w:bCs/>
        </w:rPr>
        <w:tab/>
        <w:t>Saran</w:t>
      </w:r>
    </w:p>
    <w:p w:rsidR="003677A3" w:rsidRDefault="00CE3C6A" w:rsidP="00D62592">
      <w:pPr>
        <w:pStyle w:val="ListParagraph"/>
        <w:ind w:left="0" w:firstLine="450"/>
        <w:jc w:val="both"/>
      </w:pPr>
      <w:r w:rsidRPr="006A76EA">
        <w:rPr>
          <w:lang w:val="id-ID"/>
        </w:rPr>
        <w:t xml:space="preserve">Untuk melengkapi infomasi peranan </w:t>
      </w:r>
      <w:r>
        <w:t>kapang</w:t>
      </w:r>
      <w:r w:rsidRPr="006A76EA">
        <w:rPr>
          <w:lang w:val="id-ID"/>
        </w:rPr>
        <w:t xml:space="preserve"> terhadap </w:t>
      </w:r>
      <w:r>
        <w:t>pertumbuhan dan hasil</w:t>
      </w:r>
      <w:r w:rsidRPr="006A76EA">
        <w:rPr>
          <w:lang w:val="id-ID"/>
        </w:rPr>
        <w:t xml:space="preserve"> </w:t>
      </w:r>
      <w:r>
        <w:t xml:space="preserve">tanaman </w:t>
      </w:r>
      <w:r w:rsidRPr="006A76EA">
        <w:rPr>
          <w:lang w:val="id-ID"/>
        </w:rPr>
        <w:t xml:space="preserve">jagung diperlukan penelitian </w:t>
      </w:r>
      <w:r>
        <w:t xml:space="preserve">lanjutan </w:t>
      </w:r>
      <w:r w:rsidRPr="006A76EA">
        <w:rPr>
          <w:lang w:val="id-ID"/>
        </w:rPr>
        <w:t xml:space="preserve">mengenai </w:t>
      </w:r>
      <w:r>
        <w:t>aplikasi kapang dengan bentuk inokulan yang menggunakan berbagai bahan pembawa sehingga mudah diaplikasikan secara langsung, dan perlu dilakukan penelitian lanjutan aplikasi kapang terhadap hasil tanaman jagung.</w:t>
      </w:r>
    </w:p>
    <w:p w:rsidR="003813A9" w:rsidRDefault="00C816EA" w:rsidP="001B598F">
      <w:pPr>
        <w:jc w:val="center"/>
        <w:rPr>
          <w:b/>
        </w:rPr>
      </w:pPr>
      <w:r w:rsidRPr="00C816EA">
        <w:rPr>
          <w:b/>
        </w:rPr>
        <w:t>DAFTAR PUSTAKA</w:t>
      </w:r>
    </w:p>
    <w:p w:rsidR="00AB63DA" w:rsidRDefault="00AB63DA" w:rsidP="00AB63DA">
      <w:pPr>
        <w:pStyle w:val="Default"/>
        <w:ind w:left="540" w:hanging="540"/>
        <w:jc w:val="both"/>
        <w:rPr>
          <w:color w:val="auto"/>
          <w:szCs w:val="20"/>
        </w:rPr>
      </w:pPr>
      <w:r w:rsidRPr="004E2119">
        <w:rPr>
          <w:color w:val="auto"/>
          <w:szCs w:val="20"/>
        </w:rPr>
        <w:t xml:space="preserve">Alexander, M. 1978. </w:t>
      </w:r>
      <w:r w:rsidRPr="004E2119">
        <w:rPr>
          <w:i/>
          <w:color w:val="auto"/>
          <w:szCs w:val="20"/>
        </w:rPr>
        <w:t xml:space="preserve">Introduction to Soil Microbiology. </w:t>
      </w:r>
      <w:r w:rsidRPr="004E2119">
        <w:rPr>
          <w:color w:val="auto"/>
          <w:szCs w:val="20"/>
        </w:rPr>
        <w:t>2</w:t>
      </w:r>
      <w:r w:rsidRPr="004E2119">
        <w:rPr>
          <w:color w:val="auto"/>
          <w:szCs w:val="20"/>
          <w:vertAlign w:val="superscript"/>
        </w:rPr>
        <w:t>nd</w:t>
      </w:r>
      <w:r w:rsidRPr="004E2119">
        <w:rPr>
          <w:color w:val="auto"/>
          <w:szCs w:val="20"/>
        </w:rPr>
        <w:t xml:space="preserve"> ed. Willey Eastern Limited. New Delhi.</w:t>
      </w:r>
    </w:p>
    <w:p w:rsidR="00E65217" w:rsidRPr="00E65217" w:rsidRDefault="00E65217" w:rsidP="00AB63DA">
      <w:pPr>
        <w:pStyle w:val="Default"/>
        <w:ind w:left="540" w:hanging="540"/>
        <w:jc w:val="both"/>
        <w:rPr>
          <w:color w:val="auto"/>
          <w:szCs w:val="20"/>
        </w:rPr>
      </w:pPr>
      <w:r>
        <w:rPr>
          <w:color w:val="auto"/>
          <w:szCs w:val="20"/>
        </w:rPr>
        <w:t xml:space="preserve">Anastasiades IA, Giannakou IO, Prophetou-Athanasiadou da DAN Gowen SR. 2007. The Combined Effect of The Application of a Biocontrol Agent </w:t>
      </w:r>
      <w:r>
        <w:rPr>
          <w:i/>
          <w:color w:val="auto"/>
          <w:szCs w:val="20"/>
        </w:rPr>
        <w:t xml:space="preserve">Paecilomyces lilacinus, </w:t>
      </w:r>
      <w:r>
        <w:rPr>
          <w:color w:val="auto"/>
          <w:szCs w:val="20"/>
        </w:rPr>
        <w:t xml:space="preserve">with Various Practise for The Control of Root-knot Nematodes. </w:t>
      </w:r>
      <w:r>
        <w:rPr>
          <w:i/>
          <w:color w:val="auto"/>
          <w:szCs w:val="20"/>
        </w:rPr>
        <w:t>Crop Protection</w:t>
      </w:r>
      <w:r>
        <w:rPr>
          <w:color w:val="auto"/>
          <w:szCs w:val="20"/>
        </w:rPr>
        <w:t>.</w:t>
      </w:r>
    </w:p>
    <w:p w:rsidR="000C5D02" w:rsidRPr="003E4DF3" w:rsidRDefault="000C5D02" w:rsidP="000C5D02">
      <w:pPr>
        <w:tabs>
          <w:tab w:val="left" w:pos="90"/>
          <w:tab w:val="left" w:pos="1260"/>
        </w:tabs>
        <w:ind w:left="540" w:hanging="540"/>
        <w:jc w:val="both"/>
        <w:rPr>
          <w:rFonts w:eastAsiaTheme="minorHAnsi"/>
          <w:szCs w:val="22"/>
        </w:rPr>
      </w:pPr>
      <w:r w:rsidRPr="003E4DF3">
        <w:rPr>
          <w:rFonts w:eastAsiaTheme="minorHAnsi"/>
          <w:szCs w:val="22"/>
        </w:rPr>
        <w:t>Badan Pusat Statistik Kalbar. 20</w:t>
      </w:r>
      <w:r>
        <w:rPr>
          <w:rFonts w:eastAsiaTheme="minorHAnsi"/>
          <w:szCs w:val="22"/>
        </w:rPr>
        <w:t>12</w:t>
      </w:r>
      <w:r w:rsidRPr="003E4DF3">
        <w:rPr>
          <w:rFonts w:eastAsiaTheme="minorHAnsi"/>
          <w:szCs w:val="22"/>
        </w:rPr>
        <w:t xml:space="preserve">. </w:t>
      </w:r>
      <w:r w:rsidRPr="003F0C8A">
        <w:rPr>
          <w:rFonts w:eastAsiaTheme="minorHAnsi"/>
          <w:i/>
          <w:szCs w:val="22"/>
        </w:rPr>
        <w:t>Kalimantan Barat Dalam Angka</w:t>
      </w:r>
      <w:r w:rsidRPr="003E4DF3">
        <w:rPr>
          <w:rFonts w:eastAsiaTheme="minorHAnsi"/>
          <w:szCs w:val="22"/>
        </w:rPr>
        <w:t xml:space="preserve">. </w:t>
      </w:r>
      <w:r>
        <w:rPr>
          <w:rFonts w:eastAsiaTheme="minorHAnsi"/>
          <w:szCs w:val="22"/>
        </w:rPr>
        <w:t xml:space="preserve">Penerbit BPS Kalbar. </w:t>
      </w:r>
      <w:r w:rsidRPr="003E4DF3">
        <w:rPr>
          <w:rFonts w:eastAsiaTheme="minorHAnsi"/>
          <w:szCs w:val="22"/>
        </w:rPr>
        <w:t xml:space="preserve">Pontianak. </w:t>
      </w:r>
    </w:p>
    <w:p w:rsidR="00AB63DA" w:rsidRPr="004E2119" w:rsidRDefault="00AB63DA" w:rsidP="00776EB0">
      <w:pPr>
        <w:tabs>
          <w:tab w:val="left" w:pos="90"/>
          <w:tab w:val="left" w:pos="1260"/>
        </w:tabs>
        <w:ind w:left="540" w:hanging="540"/>
        <w:jc w:val="both"/>
      </w:pPr>
      <w:r w:rsidRPr="004E2119">
        <w:rPr>
          <w:rFonts w:eastAsiaTheme="minorHAnsi"/>
          <w:szCs w:val="22"/>
        </w:rPr>
        <w:t xml:space="preserve">Beauchamp, E.G., and D.J. Hume. 1997. </w:t>
      </w:r>
      <w:r w:rsidRPr="004E2119">
        <w:rPr>
          <w:rFonts w:eastAsiaTheme="minorHAnsi"/>
          <w:i/>
          <w:szCs w:val="22"/>
        </w:rPr>
        <w:t>Agricultural Soil Manipulation : The Use Of bacteria, Manuring and Plowing</w:t>
      </w:r>
      <w:r w:rsidRPr="004E2119">
        <w:rPr>
          <w:rFonts w:eastAsiaTheme="minorHAnsi"/>
          <w:szCs w:val="22"/>
        </w:rPr>
        <w:t xml:space="preserve">. </w:t>
      </w:r>
      <w:r w:rsidRPr="004E2119">
        <w:rPr>
          <w:rFonts w:eastAsiaTheme="minorHAnsi"/>
          <w:i/>
          <w:szCs w:val="22"/>
        </w:rPr>
        <w:t xml:space="preserve">In </w:t>
      </w:r>
      <w:r w:rsidRPr="004E2119">
        <w:rPr>
          <w:rFonts w:eastAsiaTheme="minorHAnsi"/>
          <w:szCs w:val="22"/>
        </w:rPr>
        <w:t>J.D. van Elsas., J.T. Trevors and E.M.H. Wellington (eds). Modern Soil of Microbiolgy. Marcel Dekker. New York.</w:t>
      </w:r>
    </w:p>
    <w:p w:rsidR="00AB63DA" w:rsidRPr="004E2119" w:rsidRDefault="00AB63DA" w:rsidP="00394FA1">
      <w:pPr>
        <w:autoSpaceDE w:val="0"/>
        <w:autoSpaceDN w:val="0"/>
        <w:adjustRightInd w:val="0"/>
        <w:ind w:left="540" w:hanging="540"/>
        <w:jc w:val="both"/>
        <w:rPr>
          <w:rFonts w:eastAsiaTheme="minorHAnsi"/>
        </w:rPr>
      </w:pPr>
      <w:r w:rsidRPr="004E2119">
        <w:rPr>
          <w:rFonts w:eastAsiaTheme="minorHAnsi"/>
        </w:rPr>
        <w:t>Fitter dan Hay. 1981. Fisiologi Lingkungan Tanaman. Yogyakarta. Agreland Community Press Fofth HD.</w:t>
      </w:r>
    </w:p>
    <w:p w:rsidR="00E65217" w:rsidRDefault="00E65217" w:rsidP="00394FA1">
      <w:pPr>
        <w:tabs>
          <w:tab w:val="left" w:pos="1843"/>
        </w:tabs>
        <w:ind w:left="540" w:hanging="540"/>
        <w:jc w:val="both"/>
        <w:rPr>
          <w:szCs w:val="28"/>
        </w:rPr>
      </w:pPr>
      <w:r>
        <w:rPr>
          <w:szCs w:val="28"/>
        </w:rPr>
        <w:t>Ganesan S, Kuppusay RG dan Sekar R. 2007. Integrated Management of Stem Root Desease (</w:t>
      </w:r>
      <w:r>
        <w:rPr>
          <w:i/>
          <w:szCs w:val="28"/>
        </w:rPr>
        <w:t>Sclerotium rolfsii</w:t>
      </w:r>
      <w:r w:rsidRPr="00E65217">
        <w:rPr>
          <w:szCs w:val="28"/>
        </w:rPr>
        <w:t>)</w:t>
      </w:r>
      <w:r>
        <w:rPr>
          <w:szCs w:val="28"/>
        </w:rPr>
        <w:t xml:space="preserve"> of Groundnut (</w:t>
      </w:r>
      <w:r>
        <w:rPr>
          <w:i/>
          <w:szCs w:val="28"/>
        </w:rPr>
        <w:t>Arachis hipogea L</w:t>
      </w:r>
      <w:r>
        <w:rPr>
          <w:szCs w:val="28"/>
        </w:rPr>
        <w:t xml:space="preserve">) Using </w:t>
      </w:r>
      <w:r w:rsidRPr="00E65217">
        <w:rPr>
          <w:i/>
          <w:szCs w:val="28"/>
        </w:rPr>
        <w:t>Rizobium</w:t>
      </w:r>
      <w:r>
        <w:rPr>
          <w:szCs w:val="28"/>
        </w:rPr>
        <w:t xml:space="preserve"> and </w:t>
      </w:r>
      <w:r>
        <w:rPr>
          <w:i/>
          <w:szCs w:val="28"/>
        </w:rPr>
        <w:t xml:space="preserve">Tricoderma harzianum </w:t>
      </w:r>
      <w:r>
        <w:rPr>
          <w:szCs w:val="28"/>
        </w:rPr>
        <w:t xml:space="preserve">(ITCC-4572). </w:t>
      </w:r>
      <w:r w:rsidRPr="00E65217">
        <w:rPr>
          <w:i/>
          <w:szCs w:val="28"/>
        </w:rPr>
        <w:t>Turkye Journal Agriculture.</w:t>
      </w:r>
      <w:r>
        <w:rPr>
          <w:i/>
          <w:szCs w:val="28"/>
        </w:rPr>
        <w:t xml:space="preserve"> </w:t>
      </w:r>
      <w:r w:rsidR="003A44BE">
        <w:rPr>
          <w:szCs w:val="28"/>
        </w:rPr>
        <w:t>31 : 103-108.</w:t>
      </w:r>
    </w:p>
    <w:p w:rsidR="001357E6" w:rsidRPr="003A44BE" w:rsidRDefault="00CC1843" w:rsidP="003A44BE">
      <w:pPr>
        <w:tabs>
          <w:tab w:val="left" w:pos="1843"/>
        </w:tabs>
        <w:ind w:left="540" w:hanging="540"/>
        <w:jc w:val="both"/>
        <w:rPr>
          <w:szCs w:val="28"/>
        </w:rPr>
      </w:pPr>
      <w:r>
        <w:rPr>
          <w:szCs w:val="28"/>
        </w:rPr>
        <w:t xml:space="preserve">Horinouchi H, Katsuyama N, Y Taguchi dan Hyakumachi M. 2007. Control of </w:t>
      </w:r>
      <w:r>
        <w:rPr>
          <w:i/>
          <w:szCs w:val="28"/>
        </w:rPr>
        <w:t>Fusarium</w:t>
      </w:r>
      <w:r>
        <w:rPr>
          <w:szCs w:val="28"/>
        </w:rPr>
        <w:t xml:space="preserve"> Crown and root Rot of Tomato in a Soil System by Combination of a Plant Growth-Promoting Fungus, </w:t>
      </w:r>
      <w:r>
        <w:rPr>
          <w:i/>
          <w:szCs w:val="28"/>
        </w:rPr>
        <w:t xml:space="preserve">Fusarium equiseti, </w:t>
      </w:r>
      <w:r>
        <w:rPr>
          <w:szCs w:val="28"/>
        </w:rPr>
        <w:t xml:space="preserve">and </w:t>
      </w:r>
      <w:r w:rsidR="00C24748">
        <w:rPr>
          <w:szCs w:val="28"/>
        </w:rPr>
        <w:t xml:space="preserve">Biodegradable Post. </w:t>
      </w:r>
      <w:r w:rsidR="00C24748" w:rsidRPr="00B2173B">
        <w:rPr>
          <w:szCs w:val="28"/>
        </w:rPr>
        <w:t>Crop Protection.</w:t>
      </w:r>
      <w:r w:rsidR="003A44BE" w:rsidRPr="003A44BE">
        <w:rPr>
          <w:szCs w:val="28"/>
        </w:rPr>
        <w:t xml:space="preserve"> </w:t>
      </w:r>
      <w:r w:rsidR="003A44BE">
        <w:rPr>
          <w:szCs w:val="28"/>
        </w:rPr>
        <w:t>27 : 859-864.</w:t>
      </w:r>
    </w:p>
    <w:p w:rsidR="00C24748" w:rsidRPr="00E521E1" w:rsidRDefault="00E521E1" w:rsidP="001357E6">
      <w:pPr>
        <w:tabs>
          <w:tab w:val="left" w:pos="1843"/>
        </w:tabs>
        <w:ind w:left="540" w:hanging="540"/>
        <w:jc w:val="both"/>
        <w:rPr>
          <w:i/>
          <w:szCs w:val="28"/>
        </w:rPr>
      </w:pPr>
      <w:r>
        <w:rPr>
          <w:szCs w:val="28"/>
        </w:rPr>
        <w:t xml:space="preserve">Hossain MM, Sultana F, Kubota M, Koyama H dan Hyakumachi M. 2007. The Plant Growth-Promoting Fungus </w:t>
      </w:r>
      <w:r>
        <w:rPr>
          <w:i/>
          <w:szCs w:val="28"/>
        </w:rPr>
        <w:t xml:space="preserve">Penicillium simplicissimum </w:t>
      </w:r>
      <w:r>
        <w:rPr>
          <w:szCs w:val="28"/>
        </w:rPr>
        <w:t xml:space="preserve">GP17-2 Induces Resistence in </w:t>
      </w:r>
      <w:r>
        <w:rPr>
          <w:i/>
          <w:szCs w:val="28"/>
        </w:rPr>
        <w:t xml:space="preserve">Arabidopsis thaliana </w:t>
      </w:r>
      <w:r>
        <w:rPr>
          <w:szCs w:val="28"/>
        </w:rPr>
        <w:t xml:space="preserve">by Activation of Multiple Defense Signals. </w:t>
      </w:r>
      <w:r>
        <w:rPr>
          <w:i/>
          <w:szCs w:val="28"/>
        </w:rPr>
        <w:t>Plant dan Cell Physiology.</w:t>
      </w:r>
      <w:r w:rsidR="003A44BE">
        <w:rPr>
          <w:szCs w:val="28"/>
        </w:rPr>
        <w:t xml:space="preserve"> 48 : 1724-1736.</w:t>
      </w:r>
    </w:p>
    <w:p w:rsidR="00AB63DA" w:rsidRPr="004E2119" w:rsidRDefault="00AB63DA" w:rsidP="00394FA1">
      <w:pPr>
        <w:tabs>
          <w:tab w:val="left" w:pos="1843"/>
        </w:tabs>
        <w:ind w:left="540" w:hanging="540"/>
        <w:jc w:val="both"/>
        <w:rPr>
          <w:szCs w:val="28"/>
        </w:rPr>
      </w:pPr>
      <w:r w:rsidRPr="004E2119">
        <w:rPr>
          <w:szCs w:val="28"/>
        </w:rPr>
        <w:t>Illmer, P., A. Barbato and F. Schinner. 1995. Solubilizing of Hardly of Soluble AlPO</w:t>
      </w:r>
      <w:r w:rsidRPr="004E2119">
        <w:rPr>
          <w:szCs w:val="28"/>
          <w:vertAlign w:val="subscript"/>
        </w:rPr>
        <w:t>4</w:t>
      </w:r>
      <w:r w:rsidRPr="004E2119">
        <w:rPr>
          <w:szCs w:val="28"/>
        </w:rPr>
        <w:t xml:space="preserve"> With P-solubilizing microorganism. Soil Biol. Biochem.</w:t>
      </w:r>
    </w:p>
    <w:p w:rsidR="00AB63DA" w:rsidRPr="004E2119" w:rsidRDefault="00AB63DA" w:rsidP="00394FA1">
      <w:pPr>
        <w:tabs>
          <w:tab w:val="left" w:pos="90"/>
          <w:tab w:val="left" w:pos="1260"/>
        </w:tabs>
        <w:ind w:left="540" w:hanging="540"/>
        <w:jc w:val="both"/>
      </w:pPr>
      <w:r w:rsidRPr="004E2119">
        <w:t xml:space="preserve">Purwono dan R. Hartono. 2007. “Bertanam Jagung Unggul”. Penebar Swadaya. Jakarta. </w:t>
      </w:r>
    </w:p>
    <w:p w:rsidR="00D50D62" w:rsidRPr="00A64A1F" w:rsidRDefault="00D50D62" w:rsidP="00D50D62">
      <w:pPr>
        <w:tabs>
          <w:tab w:val="left" w:pos="90"/>
          <w:tab w:val="left" w:pos="1260"/>
        </w:tabs>
        <w:ind w:left="540" w:hanging="540"/>
        <w:jc w:val="both"/>
      </w:pPr>
      <w:r>
        <w:t xml:space="preserve">Rao. S, N.S., 1994. </w:t>
      </w:r>
      <w:r>
        <w:rPr>
          <w:i/>
        </w:rPr>
        <w:t xml:space="preserve">Mikroorganisme Tanah dan Pertumbuhan Tanaman. </w:t>
      </w:r>
      <w:r>
        <w:t>Penerbit Universitas Indonesia (UI-Press). Jakarta.</w:t>
      </w:r>
    </w:p>
    <w:p w:rsidR="00AB63DA" w:rsidRPr="004E2119" w:rsidRDefault="00AB63DA" w:rsidP="00394FA1">
      <w:pPr>
        <w:autoSpaceDE w:val="0"/>
        <w:autoSpaceDN w:val="0"/>
        <w:adjustRightInd w:val="0"/>
        <w:ind w:left="540" w:hanging="540"/>
        <w:jc w:val="both"/>
        <w:rPr>
          <w:rFonts w:eastAsiaTheme="minorHAnsi"/>
        </w:rPr>
      </w:pPr>
      <w:r w:rsidRPr="004E2119">
        <w:rPr>
          <w:rFonts w:eastAsiaTheme="minorHAnsi"/>
        </w:rPr>
        <w:t>Sagiman, S. 2007. Pemanfaatan Lahan Gambut dalam Perspektif Pertanian Berkelanjutan. Fakultas Pertanian, Universitas Tanjungpura, Pontianak.</w:t>
      </w:r>
    </w:p>
    <w:sectPr w:rsidR="00AB63DA" w:rsidRPr="004E2119" w:rsidSect="0001443C">
      <w:headerReference w:type="even" r:id="rId11"/>
      <w:headerReference w:type="default" r:id="rId12"/>
      <w:footerReference w:type="even" r:id="rId13"/>
      <w:pgSz w:w="11909" w:h="16834" w:code="9"/>
      <w:pgMar w:top="1701" w:right="1701" w:bottom="1701" w:left="226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6D6" w:rsidRDefault="001576D6" w:rsidP="00274742">
      <w:r>
        <w:separator/>
      </w:r>
    </w:p>
  </w:endnote>
  <w:endnote w:type="continuationSeparator" w:id="1">
    <w:p w:rsidR="001576D6" w:rsidRDefault="001576D6" w:rsidP="00274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419"/>
      <w:docPartObj>
        <w:docPartGallery w:val="Page Numbers (Bottom of Page)"/>
        <w:docPartUnique/>
      </w:docPartObj>
    </w:sdtPr>
    <w:sdtContent>
      <w:p w:rsidR="00222E42" w:rsidRDefault="00222E42">
        <w:pPr>
          <w:pStyle w:val="Footer"/>
          <w:jc w:val="center"/>
        </w:pPr>
        <w:r>
          <w:t>iii</w:t>
        </w:r>
      </w:p>
    </w:sdtContent>
  </w:sdt>
  <w:p w:rsidR="00222E42" w:rsidRDefault="00222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6D6" w:rsidRDefault="001576D6" w:rsidP="00274742">
      <w:r>
        <w:separator/>
      </w:r>
    </w:p>
  </w:footnote>
  <w:footnote w:type="continuationSeparator" w:id="1">
    <w:p w:rsidR="001576D6" w:rsidRDefault="001576D6" w:rsidP="00274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E42" w:rsidRDefault="008A049B" w:rsidP="00222E42">
    <w:pPr>
      <w:pStyle w:val="Header"/>
      <w:framePr w:wrap="around" w:vAnchor="text" w:hAnchor="margin" w:xAlign="right" w:y="1"/>
      <w:rPr>
        <w:rStyle w:val="PageNumber"/>
      </w:rPr>
    </w:pPr>
    <w:r>
      <w:rPr>
        <w:rStyle w:val="PageNumber"/>
      </w:rPr>
      <w:fldChar w:fldCharType="begin"/>
    </w:r>
    <w:r w:rsidR="00222E42">
      <w:rPr>
        <w:rStyle w:val="PageNumber"/>
      </w:rPr>
      <w:instrText xml:space="preserve">PAGE  </w:instrText>
    </w:r>
    <w:r>
      <w:rPr>
        <w:rStyle w:val="PageNumber"/>
      </w:rPr>
      <w:fldChar w:fldCharType="end"/>
    </w:r>
  </w:p>
  <w:p w:rsidR="00222E42" w:rsidRDefault="00222E42" w:rsidP="009003B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E42" w:rsidRDefault="008A049B" w:rsidP="00222E42">
    <w:pPr>
      <w:pStyle w:val="Header"/>
      <w:framePr w:wrap="around" w:vAnchor="text" w:hAnchor="margin" w:xAlign="right" w:y="1"/>
      <w:rPr>
        <w:rStyle w:val="PageNumber"/>
      </w:rPr>
    </w:pPr>
    <w:r>
      <w:rPr>
        <w:rStyle w:val="PageNumber"/>
      </w:rPr>
      <w:fldChar w:fldCharType="begin"/>
    </w:r>
    <w:r w:rsidR="00222E42">
      <w:rPr>
        <w:rStyle w:val="PageNumber"/>
      </w:rPr>
      <w:instrText xml:space="preserve">PAGE  </w:instrText>
    </w:r>
    <w:r>
      <w:rPr>
        <w:rStyle w:val="PageNumber"/>
      </w:rPr>
      <w:fldChar w:fldCharType="separate"/>
    </w:r>
    <w:r w:rsidR="00911D07">
      <w:rPr>
        <w:rStyle w:val="PageNumber"/>
        <w:noProof/>
      </w:rPr>
      <w:t>1</w:t>
    </w:r>
    <w:r>
      <w:rPr>
        <w:rStyle w:val="PageNumber"/>
      </w:rPr>
      <w:fldChar w:fldCharType="end"/>
    </w:r>
  </w:p>
  <w:p w:rsidR="00222E42" w:rsidRDefault="00222E42" w:rsidP="009003B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0DE"/>
    <w:multiLevelType w:val="hybridMultilevel"/>
    <w:tmpl w:val="038A3C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E21821"/>
    <w:multiLevelType w:val="hybridMultilevel"/>
    <w:tmpl w:val="B756D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21000F">
      <w:start w:val="1"/>
      <w:numFmt w:val="decimal"/>
      <w:lvlText w:val="%3."/>
      <w:lvlJc w:val="left"/>
      <w:pPr>
        <w:ind w:left="360" w:hanging="360"/>
      </w:pPr>
      <w:rPr>
        <w:rFonts w:hint="default"/>
      </w:rPr>
    </w:lvl>
    <w:lvl w:ilvl="3" w:tplc="B5588E10">
      <w:start w:val="3"/>
      <w:numFmt w:val="upperLetter"/>
      <w:lvlText w:val="%4&gt;"/>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5490B"/>
    <w:multiLevelType w:val="hybridMultilevel"/>
    <w:tmpl w:val="35D47652"/>
    <w:lvl w:ilvl="0" w:tplc="399C92B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292C74"/>
    <w:multiLevelType w:val="hybridMultilevel"/>
    <w:tmpl w:val="535ECE56"/>
    <w:lvl w:ilvl="0" w:tplc="01C65CD6">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21CF3"/>
    <w:multiLevelType w:val="hybridMultilevel"/>
    <w:tmpl w:val="779E8D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F72A3F"/>
    <w:multiLevelType w:val="hybridMultilevel"/>
    <w:tmpl w:val="3F4EE9C2"/>
    <w:lvl w:ilvl="0" w:tplc="6DBC37CA">
      <w:start w:val="1"/>
      <w:numFmt w:val="upperLetter"/>
      <w:lvlText w:val="%1."/>
      <w:lvlJc w:val="left"/>
      <w:pPr>
        <w:ind w:left="81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3EDB"/>
    <w:multiLevelType w:val="hybridMultilevel"/>
    <w:tmpl w:val="D310AB08"/>
    <w:lvl w:ilvl="0" w:tplc="0CB4B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D7364C"/>
    <w:multiLevelType w:val="hybridMultilevel"/>
    <w:tmpl w:val="841EF6B0"/>
    <w:lvl w:ilvl="0" w:tplc="53985C4E">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A991034"/>
    <w:multiLevelType w:val="hybridMultilevel"/>
    <w:tmpl w:val="DD8CC176"/>
    <w:lvl w:ilvl="0" w:tplc="50125C24">
      <w:start w:val="1"/>
      <w:numFmt w:val="decimal"/>
      <w:lvlText w:val="%1."/>
      <w:lvlJc w:val="left"/>
      <w:pPr>
        <w:ind w:left="1440" w:hanging="360"/>
      </w:pPr>
      <w:rPr>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8B6BB6"/>
    <w:multiLevelType w:val="hybridMultilevel"/>
    <w:tmpl w:val="F67825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DE1F1D"/>
    <w:multiLevelType w:val="hybridMultilevel"/>
    <w:tmpl w:val="99A60D8C"/>
    <w:lvl w:ilvl="0" w:tplc="43F47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42CA5"/>
    <w:multiLevelType w:val="hybridMultilevel"/>
    <w:tmpl w:val="E9D8A108"/>
    <w:lvl w:ilvl="0" w:tplc="2BC22F8A">
      <w:start w:val="1"/>
      <w:numFmt w:val="decimal"/>
      <w:lvlText w:val="%1."/>
      <w:lvlJc w:val="left"/>
      <w:pPr>
        <w:ind w:left="900" w:hanging="360"/>
      </w:pPr>
      <w:rPr>
        <w:rFonts w:hint="default"/>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7312E6"/>
    <w:multiLevelType w:val="hybridMultilevel"/>
    <w:tmpl w:val="9B9405FA"/>
    <w:lvl w:ilvl="0" w:tplc="C4F8FDC8">
      <w:start w:val="1"/>
      <w:numFmt w:val="decimal"/>
      <w:lvlText w:val="%1."/>
      <w:lvlJc w:val="left"/>
      <w:pPr>
        <w:ind w:left="1440" w:hanging="360"/>
      </w:pPr>
      <w:rPr>
        <w:rFonts w:ascii="Times New Roman" w:hAnsi="Times New Roman" w:cs="Times New Roman"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C1150A"/>
    <w:multiLevelType w:val="hybridMultilevel"/>
    <w:tmpl w:val="B136D32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32D54EA5"/>
    <w:multiLevelType w:val="hybridMultilevel"/>
    <w:tmpl w:val="1DC8C7D2"/>
    <w:lvl w:ilvl="0" w:tplc="6EE26FBA">
      <w:start w:val="1"/>
      <w:numFmt w:val="decimal"/>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364927"/>
    <w:multiLevelType w:val="hybridMultilevel"/>
    <w:tmpl w:val="3084C6E0"/>
    <w:lvl w:ilvl="0" w:tplc="192E5A1C">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9F542F"/>
    <w:multiLevelType w:val="hybridMultilevel"/>
    <w:tmpl w:val="AA309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E26829"/>
    <w:multiLevelType w:val="hybridMultilevel"/>
    <w:tmpl w:val="E5D4BD78"/>
    <w:lvl w:ilvl="0" w:tplc="2F6210E2">
      <w:start w:val="1"/>
      <w:numFmt w:val="decimal"/>
      <w:lvlText w:val="%1."/>
      <w:lvlJc w:val="left"/>
      <w:pPr>
        <w:ind w:left="1140" w:hanging="360"/>
      </w:pPr>
      <w:rPr>
        <w:rFonts w:hint="default"/>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418C6C8C"/>
    <w:multiLevelType w:val="hybridMultilevel"/>
    <w:tmpl w:val="C652B522"/>
    <w:lvl w:ilvl="0" w:tplc="984E556E">
      <w:start w:val="2"/>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25C7D91"/>
    <w:multiLevelType w:val="hybridMultilevel"/>
    <w:tmpl w:val="5A607646"/>
    <w:lvl w:ilvl="0" w:tplc="B25E356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D950938"/>
    <w:multiLevelType w:val="hybridMultilevel"/>
    <w:tmpl w:val="41D8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62353"/>
    <w:multiLevelType w:val="hybridMultilevel"/>
    <w:tmpl w:val="74820ED8"/>
    <w:lvl w:ilvl="0" w:tplc="0421000F">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5C811363"/>
    <w:multiLevelType w:val="hybridMultilevel"/>
    <w:tmpl w:val="27E610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F83659"/>
    <w:multiLevelType w:val="hybridMultilevel"/>
    <w:tmpl w:val="69D2FC58"/>
    <w:lvl w:ilvl="0" w:tplc="F49CB7B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272512"/>
    <w:multiLevelType w:val="hybridMultilevel"/>
    <w:tmpl w:val="1FB49D8E"/>
    <w:lvl w:ilvl="0" w:tplc="04090015">
      <w:start w:val="1"/>
      <w:numFmt w:val="upperLetter"/>
      <w:lvlText w:val="%1."/>
      <w:lvlJc w:val="left"/>
      <w:pPr>
        <w:tabs>
          <w:tab w:val="num" w:pos="720"/>
        </w:tabs>
        <w:ind w:left="720" w:hanging="360"/>
      </w:pPr>
      <w:rPr>
        <w:rFonts w:hint="default"/>
      </w:rPr>
    </w:lvl>
    <w:lvl w:ilvl="1" w:tplc="82FA489C">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047247"/>
    <w:multiLevelType w:val="hybridMultilevel"/>
    <w:tmpl w:val="D870EF4E"/>
    <w:lvl w:ilvl="0" w:tplc="0409000F">
      <w:start w:val="1"/>
      <w:numFmt w:val="decimal"/>
      <w:lvlText w:val="%1."/>
      <w:lvlJc w:val="left"/>
      <w:pPr>
        <w:tabs>
          <w:tab w:val="num" w:pos="360"/>
        </w:tabs>
        <w:ind w:left="360" w:hanging="360"/>
      </w:pPr>
      <w:rPr>
        <w:rFonts w:hint="default"/>
      </w:rPr>
    </w:lvl>
    <w:lvl w:ilvl="1" w:tplc="0421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3773D0"/>
    <w:multiLevelType w:val="hybridMultilevel"/>
    <w:tmpl w:val="A9E2CA50"/>
    <w:lvl w:ilvl="0" w:tplc="996090CE">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5F3FC3"/>
    <w:multiLevelType w:val="hybridMultilevel"/>
    <w:tmpl w:val="9DB483FE"/>
    <w:lvl w:ilvl="0" w:tplc="7D32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4"/>
  </w:num>
  <w:num w:numId="3">
    <w:abstractNumId w:val="7"/>
  </w:num>
  <w:num w:numId="4">
    <w:abstractNumId w:val="19"/>
  </w:num>
  <w:num w:numId="5">
    <w:abstractNumId w:val="13"/>
  </w:num>
  <w:num w:numId="6">
    <w:abstractNumId w:val="3"/>
  </w:num>
  <w:num w:numId="7">
    <w:abstractNumId w:val="15"/>
  </w:num>
  <w:num w:numId="8">
    <w:abstractNumId w:val="20"/>
  </w:num>
  <w:num w:numId="9">
    <w:abstractNumId w:val="27"/>
  </w:num>
  <w:num w:numId="10">
    <w:abstractNumId w:val="23"/>
  </w:num>
  <w:num w:numId="11">
    <w:abstractNumId w:val="8"/>
  </w:num>
  <w:num w:numId="12">
    <w:abstractNumId w:val="25"/>
  </w:num>
  <w:num w:numId="13">
    <w:abstractNumId w:val="1"/>
  </w:num>
  <w:num w:numId="14">
    <w:abstractNumId w:val="22"/>
  </w:num>
  <w:num w:numId="15">
    <w:abstractNumId w:val="21"/>
  </w:num>
  <w:num w:numId="16">
    <w:abstractNumId w:val="17"/>
  </w:num>
  <w:num w:numId="17">
    <w:abstractNumId w:val="5"/>
  </w:num>
  <w:num w:numId="18">
    <w:abstractNumId w:val="12"/>
  </w:num>
  <w:num w:numId="19">
    <w:abstractNumId w:val="14"/>
  </w:num>
  <w:num w:numId="20">
    <w:abstractNumId w:val="0"/>
  </w:num>
  <w:num w:numId="21">
    <w:abstractNumId w:val="2"/>
  </w:num>
  <w:num w:numId="22">
    <w:abstractNumId w:val="4"/>
  </w:num>
  <w:num w:numId="23">
    <w:abstractNumId w:val="26"/>
  </w:num>
  <w:num w:numId="24">
    <w:abstractNumId w:val="9"/>
  </w:num>
  <w:num w:numId="25">
    <w:abstractNumId w:val="6"/>
  </w:num>
  <w:num w:numId="26">
    <w:abstractNumId w:val="16"/>
  </w:num>
  <w:num w:numId="27">
    <w:abstractNumId w:val="11"/>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654A9"/>
    <w:rsid w:val="000026B0"/>
    <w:rsid w:val="0000293D"/>
    <w:rsid w:val="00002ECB"/>
    <w:rsid w:val="000042AD"/>
    <w:rsid w:val="00006BF1"/>
    <w:rsid w:val="0001315B"/>
    <w:rsid w:val="00013770"/>
    <w:rsid w:val="0001443C"/>
    <w:rsid w:val="000167C6"/>
    <w:rsid w:val="00030991"/>
    <w:rsid w:val="00030BF4"/>
    <w:rsid w:val="000469D1"/>
    <w:rsid w:val="00050739"/>
    <w:rsid w:val="00061D0D"/>
    <w:rsid w:val="00062750"/>
    <w:rsid w:val="00070235"/>
    <w:rsid w:val="000849F2"/>
    <w:rsid w:val="000A511B"/>
    <w:rsid w:val="000B4040"/>
    <w:rsid w:val="000C34D3"/>
    <w:rsid w:val="000C5D02"/>
    <w:rsid w:val="000D72CD"/>
    <w:rsid w:val="000D7E33"/>
    <w:rsid w:val="000E4A1E"/>
    <w:rsid w:val="000F6A4F"/>
    <w:rsid w:val="00102BF2"/>
    <w:rsid w:val="00102F81"/>
    <w:rsid w:val="00123066"/>
    <w:rsid w:val="001319F3"/>
    <w:rsid w:val="001357D4"/>
    <w:rsid w:val="001357E6"/>
    <w:rsid w:val="0014436F"/>
    <w:rsid w:val="00145465"/>
    <w:rsid w:val="0014753A"/>
    <w:rsid w:val="001501E8"/>
    <w:rsid w:val="0015285D"/>
    <w:rsid w:val="0015522A"/>
    <w:rsid w:val="0015602B"/>
    <w:rsid w:val="00156C79"/>
    <w:rsid w:val="001576D6"/>
    <w:rsid w:val="00182083"/>
    <w:rsid w:val="0018630C"/>
    <w:rsid w:val="001904E3"/>
    <w:rsid w:val="00192606"/>
    <w:rsid w:val="001A487A"/>
    <w:rsid w:val="001A6523"/>
    <w:rsid w:val="001B598F"/>
    <w:rsid w:val="001B6F0D"/>
    <w:rsid w:val="001C0461"/>
    <w:rsid w:val="001C2085"/>
    <w:rsid w:val="001C3720"/>
    <w:rsid w:val="001D25FA"/>
    <w:rsid w:val="001D3C46"/>
    <w:rsid w:val="001D5CC6"/>
    <w:rsid w:val="001E0028"/>
    <w:rsid w:val="001E4955"/>
    <w:rsid w:val="001F6082"/>
    <w:rsid w:val="001F7635"/>
    <w:rsid w:val="00212A3B"/>
    <w:rsid w:val="00222E13"/>
    <w:rsid w:val="00222E42"/>
    <w:rsid w:val="00231BD3"/>
    <w:rsid w:val="00234FFB"/>
    <w:rsid w:val="00252F6C"/>
    <w:rsid w:val="002571B3"/>
    <w:rsid w:val="00261F28"/>
    <w:rsid w:val="0026251A"/>
    <w:rsid w:val="00262BBA"/>
    <w:rsid w:val="00264298"/>
    <w:rsid w:val="00274742"/>
    <w:rsid w:val="002752F1"/>
    <w:rsid w:val="0028079B"/>
    <w:rsid w:val="00290DD0"/>
    <w:rsid w:val="002A0FCD"/>
    <w:rsid w:val="002A17B9"/>
    <w:rsid w:val="002B252D"/>
    <w:rsid w:val="002C053F"/>
    <w:rsid w:val="002E4105"/>
    <w:rsid w:val="002F182E"/>
    <w:rsid w:val="002F2332"/>
    <w:rsid w:val="002F5C36"/>
    <w:rsid w:val="00306DF1"/>
    <w:rsid w:val="00310649"/>
    <w:rsid w:val="00333292"/>
    <w:rsid w:val="003367BC"/>
    <w:rsid w:val="003431DF"/>
    <w:rsid w:val="00362233"/>
    <w:rsid w:val="003677A3"/>
    <w:rsid w:val="00370DB3"/>
    <w:rsid w:val="00372B03"/>
    <w:rsid w:val="00376DCB"/>
    <w:rsid w:val="00380E5C"/>
    <w:rsid w:val="003813A9"/>
    <w:rsid w:val="00390E5C"/>
    <w:rsid w:val="00393A67"/>
    <w:rsid w:val="00394FA1"/>
    <w:rsid w:val="003A44BE"/>
    <w:rsid w:val="003A78C4"/>
    <w:rsid w:val="003B16C0"/>
    <w:rsid w:val="003B4ADD"/>
    <w:rsid w:val="003D0FA4"/>
    <w:rsid w:val="003F3EAA"/>
    <w:rsid w:val="003F6404"/>
    <w:rsid w:val="00420073"/>
    <w:rsid w:val="00426AFF"/>
    <w:rsid w:val="00453D55"/>
    <w:rsid w:val="0045678B"/>
    <w:rsid w:val="00456F31"/>
    <w:rsid w:val="00463973"/>
    <w:rsid w:val="004654A9"/>
    <w:rsid w:val="00467B52"/>
    <w:rsid w:val="004719A9"/>
    <w:rsid w:val="00474015"/>
    <w:rsid w:val="00480CF0"/>
    <w:rsid w:val="00483D76"/>
    <w:rsid w:val="00484CAD"/>
    <w:rsid w:val="004A7C52"/>
    <w:rsid w:val="004D0292"/>
    <w:rsid w:val="004D1FB4"/>
    <w:rsid w:val="004E2119"/>
    <w:rsid w:val="004F76BA"/>
    <w:rsid w:val="00501035"/>
    <w:rsid w:val="00516540"/>
    <w:rsid w:val="00550431"/>
    <w:rsid w:val="00551354"/>
    <w:rsid w:val="00551F84"/>
    <w:rsid w:val="00556C51"/>
    <w:rsid w:val="00565F7A"/>
    <w:rsid w:val="005819CF"/>
    <w:rsid w:val="005828AA"/>
    <w:rsid w:val="00594A38"/>
    <w:rsid w:val="005950EF"/>
    <w:rsid w:val="005A24FD"/>
    <w:rsid w:val="005A5B9A"/>
    <w:rsid w:val="005C60B3"/>
    <w:rsid w:val="005E089E"/>
    <w:rsid w:val="005E3563"/>
    <w:rsid w:val="005E6BEA"/>
    <w:rsid w:val="00616E1B"/>
    <w:rsid w:val="0062438C"/>
    <w:rsid w:val="00633BD6"/>
    <w:rsid w:val="00641FA1"/>
    <w:rsid w:val="00647308"/>
    <w:rsid w:val="00652B94"/>
    <w:rsid w:val="00664ABB"/>
    <w:rsid w:val="006727D0"/>
    <w:rsid w:val="006740C0"/>
    <w:rsid w:val="006754BD"/>
    <w:rsid w:val="006800BC"/>
    <w:rsid w:val="00680480"/>
    <w:rsid w:val="00681D92"/>
    <w:rsid w:val="00682C59"/>
    <w:rsid w:val="0069177F"/>
    <w:rsid w:val="00695260"/>
    <w:rsid w:val="006A002B"/>
    <w:rsid w:val="006A0A5C"/>
    <w:rsid w:val="006B03C1"/>
    <w:rsid w:val="006B1656"/>
    <w:rsid w:val="006B38DA"/>
    <w:rsid w:val="006C38C5"/>
    <w:rsid w:val="006C7527"/>
    <w:rsid w:val="006C763C"/>
    <w:rsid w:val="006D3B8C"/>
    <w:rsid w:val="006E0D4B"/>
    <w:rsid w:val="006E7FD2"/>
    <w:rsid w:val="006F0048"/>
    <w:rsid w:val="006F0443"/>
    <w:rsid w:val="006F3F5E"/>
    <w:rsid w:val="006F54E4"/>
    <w:rsid w:val="006F59F5"/>
    <w:rsid w:val="006F6D98"/>
    <w:rsid w:val="00700B80"/>
    <w:rsid w:val="0071552A"/>
    <w:rsid w:val="00717399"/>
    <w:rsid w:val="00735B77"/>
    <w:rsid w:val="007403F4"/>
    <w:rsid w:val="00740DC3"/>
    <w:rsid w:val="007428A1"/>
    <w:rsid w:val="00743715"/>
    <w:rsid w:val="007507E6"/>
    <w:rsid w:val="00756141"/>
    <w:rsid w:val="00765548"/>
    <w:rsid w:val="00765AB4"/>
    <w:rsid w:val="00766827"/>
    <w:rsid w:val="00776EB0"/>
    <w:rsid w:val="00780692"/>
    <w:rsid w:val="00787F08"/>
    <w:rsid w:val="007929F0"/>
    <w:rsid w:val="007B02D3"/>
    <w:rsid w:val="007B5327"/>
    <w:rsid w:val="007C2A5F"/>
    <w:rsid w:val="007F7B9D"/>
    <w:rsid w:val="00806967"/>
    <w:rsid w:val="00812D50"/>
    <w:rsid w:val="008132E7"/>
    <w:rsid w:val="00817154"/>
    <w:rsid w:val="00820F5E"/>
    <w:rsid w:val="00847014"/>
    <w:rsid w:val="00852FC2"/>
    <w:rsid w:val="00864660"/>
    <w:rsid w:val="00883873"/>
    <w:rsid w:val="008930D0"/>
    <w:rsid w:val="008A049B"/>
    <w:rsid w:val="008B0B2B"/>
    <w:rsid w:val="008B14F2"/>
    <w:rsid w:val="008C53B4"/>
    <w:rsid w:val="008D05EC"/>
    <w:rsid w:val="008D2BA3"/>
    <w:rsid w:val="008D3157"/>
    <w:rsid w:val="008E2830"/>
    <w:rsid w:val="008E30C4"/>
    <w:rsid w:val="008E34F2"/>
    <w:rsid w:val="008F345F"/>
    <w:rsid w:val="009003B9"/>
    <w:rsid w:val="009066DC"/>
    <w:rsid w:val="00911D07"/>
    <w:rsid w:val="009123EA"/>
    <w:rsid w:val="009162A4"/>
    <w:rsid w:val="009211F4"/>
    <w:rsid w:val="00922257"/>
    <w:rsid w:val="00926E01"/>
    <w:rsid w:val="00930244"/>
    <w:rsid w:val="00935C85"/>
    <w:rsid w:val="00937511"/>
    <w:rsid w:val="00945199"/>
    <w:rsid w:val="00951A68"/>
    <w:rsid w:val="009532CE"/>
    <w:rsid w:val="00954EA8"/>
    <w:rsid w:val="00960619"/>
    <w:rsid w:val="00960C7D"/>
    <w:rsid w:val="00962E48"/>
    <w:rsid w:val="00974551"/>
    <w:rsid w:val="00982CBF"/>
    <w:rsid w:val="00986168"/>
    <w:rsid w:val="00991943"/>
    <w:rsid w:val="00994DE5"/>
    <w:rsid w:val="009A4E44"/>
    <w:rsid w:val="009C73F6"/>
    <w:rsid w:val="009D1F2C"/>
    <w:rsid w:val="009F158C"/>
    <w:rsid w:val="009F505A"/>
    <w:rsid w:val="009F7FC6"/>
    <w:rsid w:val="00A1465E"/>
    <w:rsid w:val="00A154D3"/>
    <w:rsid w:val="00A231A9"/>
    <w:rsid w:val="00A328E3"/>
    <w:rsid w:val="00A36F0C"/>
    <w:rsid w:val="00A55EEF"/>
    <w:rsid w:val="00A56881"/>
    <w:rsid w:val="00A60C47"/>
    <w:rsid w:val="00A66954"/>
    <w:rsid w:val="00A703F6"/>
    <w:rsid w:val="00A73A20"/>
    <w:rsid w:val="00A753D0"/>
    <w:rsid w:val="00A80453"/>
    <w:rsid w:val="00A81E8D"/>
    <w:rsid w:val="00A93979"/>
    <w:rsid w:val="00A950AC"/>
    <w:rsid w:val="00AA05CE"/>
    <w:rsid w:val="00AA19C8"/>
    <w:rsid w:val="00AB4AA4"/>
    <w:rsid w:val="00AB63DA"/>
    <w:rsid w:val="00AC4285"/>
    <w:rsid w:val="00AC5272"/>
    <w:rsid w:val="00AD13F1"/>
    <w:rsid w:val="00AE2183"/>
    <w:rsid w:val="00AF5B9E"/>
    <w:rsid w:val="00B15545"/>
    <w:rsid w:val="00B2173B"/>
    <w:rsid w:val="00B236F9"/>
    <w:rsid w:val="00B239F1"/>
    <w:rsid w:val="00B44C9A"/>
    <w:rsid w:val="00B4713E"/>
    <w:rsid w:val="00B52009"/>
    <w:rsid w:val="00B563DF"/>
    <w:rsid w:val="00B643DB"/>
    <w:rsid w:val="00B7180D"/>
    <w:rsid w:val="00B81979"/>
    <w:rsid w:val="00B83B76"/>
    <w:rsid w:val="00B85F68"/>
    <w:rsid w:val="00B949F8"/>
    <w:rsid w:val="00B95DAC"/>
    <w:rsid w:val="00B972F5"/>
    <w:rsid w:val="00BA64C3"/>
    <w:rsid w:val="00BA79C8"/>
    <w:rsid w:val="00BB480C"/>
    <w:rsid w:val="00BD2A30"/>
    <w:rsid w:val="00BD4398"/>
    <w:rsid w:val="00BD7427"/>
    <w:rsid w:val="00BE07E3"/>
    <w:rsid w:val="00BF6270"/>
    <w:rsid w:val="00C01153"/>
    <w:rsid w:val="00C019AD"/>
    <w:rsid w:val="00C07C45"/>
    <w:rsid w:val="00C11F25"/>
    <w:rsid w:val="00C144AE"/>
    <w:rsid w:val="00C24748"/>
    <w:rsid w:val="00C35955"/>
    <w:rsid w:val="00C367AE"/>
    <w:rsid w:val="00C44D1E"/>
    <w:rsid w:val="00C62371"/>
    <w:rsid w:val="00C731C7"/>
    <w:rsid w:val="00C748D2"/>
    <w:rsid w:val="00C816EA"/>
    <w:rsid w:val="00C832A2"/>
    <w:rsid w:val="00C84C09"/>
    <w:rsid w:val="00C86729"/>
    <w:rsid w:val="00CB4A9B"/>
    <w:rsid w:val="00CC1843"/>
    <w:rsid w:val="00CC4B51"/>
    <w:rsid w:val="00CE0B3A"/>
    <w:rsid w:val="00CE3C6A"/>
    <w:rsid w:val="00CE5009"/>
    <w:rsid w:val="00CF1B8B"/>
    <w:rsid w:val="00D043BC"/>
    <w:rsid w:val="00D04E5B"/>
    <w:rsid w:val="00D06AC8"/>
    <w:rsid w:val="00D20801"/>
    <w:rsid w:val="00D262AC"/>
    <w:rsid w:val="00D3367E"/>
    <w:rsid w:val="00D37167"/>
    <w:rsid w:val="00D46921"/>
    <w:rsid w:val="00D50D62"/>
    <w:rsid w:val="00D516EA"/>
    <w:rsid w:val="00D52C0B"/>
    <w:rsid w:val="00D54003"/>
    <w:rsid w:val="00D549A6"/>
    <w:rsid w:val="00D601BE"/>
    <w:rsid w:val="00D62592"/>
    <w:rsid w:val="00D632B9"/>
    <w:rsid w:val="00D637F9"/>
    <w:rsid w:val="00D645B2"/>
    <w:rsid w:val="00D73338"/>
    <w:rsid w:val="00D75602"/>
    <w:rsid w:val="00D86FF0"/>
    <w:rsid w:val="00D9139A"/>
    <w:rsid w:val="00DA4FFE"/>
    <w:rsid w:val="00DB2992"/>
    <w:rsid w:val="00DB30BA"/>
    <w:rsid w:val="00DB4F90"/>
    <w:rsid w:val="00DB694C"/>
    <w:rsid w:val="00DC098A"/>
    <w:rsid w:val="00DC0EA3"/>
    <w:rsid w:val="00DC6774"/>
    <w:rsid w:val="00DD1672"/>
    <w:rsid w:val="00DF77DD"/>
    <w:rsid w:val="00E019B5"/>
    <w:rsid w:val="00E02503"/>
    <w:rsid w:val="00E26868"/>
    <w:rsid w:val="00E31F97"/>
    <w:rsid w:val="00E4498A"/>
    <w:rsid w:val="00E44F61"/>
    <w:rsid w:val="00E521E1"/>
    <w:rsid w:val="00E65217"/>
    <w:rsid w:val="00E71B81"/>
    <w:rsid w:val="00E71E5B"/>
    <w:rsid w:val="00E727E3"/>
    <w:rsid w:val="00E8068F"/>
    <w:rsid w:val="00E85857"/>
    <w:rsid w:val="00E93025"/>
    <w:rsid w:val="00EA51A4"/>
    <w:rsid w:val="00EB0EB4"/>
    <w:rsid w:val="00EB462B"/>
    <w:rsid w:val="00EC25AD"/>
    <w:rsid w:val="00EC3229"/>
    <w:rsid w:val="00ED2333"/>
    <w:rsid w:val="00ED5532"/>
    <w:rsid w:val="00ED7554"/>
    <w:rsid w:val="00EE13BD"/>
    <w:rsid w:val="00EE2AE9"/>
    <w:rsid w:val="00EF37CC"/>
    <w:rsid w:val="00EF6542"/>
    <w:rsid w:val="00F027EF"/>
    <w:rsid w:val="00F1566E"/>
    <w:rsid w:val="00F2162B"/>
    <w:rsid w:val="00F25E50"/>
    <w:rsid w:val="00F26502"/>
    <w:rsid w:val="00F26F30"/>
    <w:rsid w:val="00F27BDD"/>
    <w:rsid w:val="00F3689D"/>
    <w:rsid w:val="00F36A65"/>
    <w:rsid w:val="00F4062C"/>
    <w:rsid w:val="00F6572B"/>
    <w:rsid w:val="00F7110A"/>
    <w:rsid w:val="00F73DBE"/>
    <w:rsid w:val="00F97B02"/>
    <w:rsid w:val="00FA2DC9"/>
    <w:rsid w:val="00FA6C4F"/>
    <w:rsid w:val="00FC3F38"/>
    <w:rsid w:val="00FD0C64"/>
    <w:rsid w:val="00FD3086"/>
    <w:rsid w:val="00FD7687"/>
    <w:rsid w:val="00FE1DD6"/>
    <w:rsid w:val="00FE20D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4A9"/>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54A9"/>
    <w:pPr>
      <w:tabs>
        <w:tab w:val="center" w:pos="4680"/>
        <w:tab w:val="right" w:pos="9360"/>
      </w:tabs>
    </w:pPr>
  </w:style>
  <w:style w:type="character" w:customStyle="1" w:styleId="FooterChar">
    <w:name w:val="Footer Char"/>
    <w:basedOn w:val="DefaultParagraphFont"/>
    <w:link w:val="Footer"/>
    <w:uiPriority w:val="99"/>
    <w:rsid w:val="004654A9"/>
    <w:rPr>
      <w:rFonts w:ascii="Times New Roman" w:eastAsiaTheme="minorEastAsia" w:hAnsi="Times New Roman" w:cs="Times New Roman"/>
      <w:sz w:val="24"/>
      <w:szCs w:val="24"/>
    </w:rPr>
  </w:style>
  <w:style w:type="paragraph" w:customStyle="1" w:styleId="Style2">
    <w:name w:val="Style2"/>
    <w:basedOn w:val="Normal"/>
    <w:qFormat/>
    <w:rsid w:val="004654A9"/>
    <w:pPr>
      <w:spacing w:after="200" w:line="276" w:lineRule="auto"/>
    </w:pPr>
    <w:rPr>
      <w:rFonts w:eastAsiaTheme="minorHAnsi" w:cstheme="minorBidi"/>
      <w:szCs w:val="22"/>
    </w:rPr>
  </w:style>
  <w:style w:type="paragraph" w:styleId="BalloonText">
    <w:name w:val="Balloon Text"/>
    <w:basedOn w:val="Normal"/>
    <w:link w:val="BalloonTextChar"/>
    <w:uiPriority w:val="99"/>
    <w:semiHidden/>
    <w:unhideWhenUsed/>
    <w:rsid w:val="004654A9"/>
    <w:rPr>
      <w:rFonts w:ascii="Tahoma" w:hAnsi="Tahoma" w:cs="Tahoma"/>
      <w:sz w:val="16"/>
      <w:szCs w:val="16"/>
    </w:rPr>
  </w:style>
  <w:style w:type="character" w:customStyle="1" w:styleId="BalloonTextChar">
    <w:name w:val="Balloon Text Char"/>
    <w:basedOn w:val="DefaultParagraphFont"/>
    <w:link w:val="BalloonText"/>
    <w:uiPriority w:val="99"/>
    <w:semiHidden/>
    <w:rsid w:val="004654A9"/>
    <w:rPr>
      <w:rFonts w:ascii="Tahoma" w:eastAsiaTheme="minorEastAsia" w:hAnsi="Tahoma" w:cs="Tahoma"/>
      <w:sz w:val="16"/>
      <w:szCs w:val="16"/>
    </w:rPr>
  </w:style>
  <w:style w:type="paragraph" w:styleId="ListParagraph">
    <w:name w:val="List Paragraph"/>
    <w:basedOn w:val="Normal"/>
    <w:uiPriority w:val="34"/>
    <w:qFormat/>
    <w:rsid w:val="006F54E4"/>
    <w:pPr>
      <w:ind w:left="720"/>
      <w:contextualSpacing/>
    </w:pPr>
  </w:style>
  <w:style w:type="character" w:styleId="Hyperlink">
    <w:name w:val="Hyperlink"/>
    <w:basedOn w:val="DefaultParagraphFont"/>
    <w:uiPriority w:val="99"/>
    <w:unhideWhenUsed/>
    <w:rsid w:val="00A66954"/>
    <w:rPr>
      <w:color w:val="0000FF" w:themeColor="hyperlink"/>
      <w:u w:val="single"/>
    </w:rPr>
  </w:style>
  <w:style w:type="paragraph" w:customStyle="1" w:styleId="Default">
    <w:name w:val="Default"/>
    <w:rsid w:val="00A669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0431"/>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55043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003B9"/>
  </w:style>
</w:styles>
</file>

<file path=word/webSettings.xml><?xml version="1.0" encoding="utf-8"?>
<w:webSettings xmlns:r="http://schemas.openxmlformats.org/officeDocument/2006/relationships" xmlns:w="http://schemas.openxmlformats.org/wordprocessingml/2006/main">
  <w:divs>
    <w:div w:id="386226574">
      <w:bodyDiv w:val="1"/>
      <w:marLeft w:val="0"/>
      <w:marRight w:val="0"/>
      <w:marTop w:val="0"/>
      <w:marBottom w:val="0"/>
      <w:divBdr>
        <w:top w:val="none" w:sz="0" w:space="0" w:color="auto"/>
        <w:left w:val="none" w:sz="0" w:space="0" w:color="auto"/>
        <w:bottom w:val="none" w:sz="0" w:space="0" w:color="auto"/>
        <w:right w:val="none" w:sz="0" w:space="0" w:color="auto"/>
      </w:divBdr>
    </w:div>
    <w:div w:id="428500543">
      <w:bodyDiv w:val="1"/>
      <w:marLeft w:val="0"/>
      <w:marRight w:val="0"/>
      <w:marTop w:val="0"/>
      <w:marBottom w:val="0"/>
      <w:divBdr>
        <w:top w:val="none" w:sz="0" w:space="0" w:color="auto"/>
        <w:left w:val="none" w:sz="0" w:space="0" w:color="auto"/>
        <w:bottom w:val="none" w:sz="0" w:space="0" w:color="auto"/>
        <w:right w:val="none" w:sz="0" w:space="0" w:color="auto"/>
      </w:divBdr>
    </w:div>
    <w:div w:id="648286925">
      <w:bodyDiv w:val="1"/>
      <w:marLeft w:val="0"/>
      <w:marRight w:val="0"/>
      <w:marTop w:val="0"/>
      <w:marBottom w:val="0"/>
      <w:divBdr>
        <w:top w:val="none" w:sz="0" w:space="0" w:color="auto"/>
        <w:left w:val="none" w:sz="0" w:space="0" w:color="auto"/>
        <w:bottom w:val="none" w:sz="0" w:space="0" w:color="auto"/>
        <w:right w:val="none" w:sz="0" w:space="0" w:color="auto"/>
      </w:divBdr>
    </w:div>
    <w:div w:id="1009210814">
      <w:bodyDiv w:val="1"/>
      <w:marLeft w:val="0"/>
      <w:marRight w:val="0"/>
      <w:marTop w:val="0"/>
      <w:marBottom w:val="0"/>
      <w:divBdr>
        <w:top w:val="none" w:sz="0" w:space="0" w:color="auto"/>
        <w:left w:val="none" w:sz="0" w:space="0" w:color="auto"/>
        <w:bottom w:val="none" w:sz="0" w:space="0" w:color="auto"/>
        <w:right w:val="none" w:sz="0" w:space="0" w:color="auto"/>
      </w:divBdr>
    </w:div>
    <w:div w:id="20664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SKRIPSI\Olah%20Data\Data%20Volume%20Ak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SKRIPSI\Olah%20Data\Data%20Analisis%20P%20Jaringan%20Tanam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SKRIPSI\Olah%20Data\Data%20Bobot%20Kering%20Tanam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strRef>
              <c:f>'RAL FAKTORIAL'!$AH$13</c:f>
              <c:strCache>
                <c:ptCount val="1"/>
                <c:pt idx="0">
                  <c:v>A. niger</c:v>
                </c:pt>
              </c:strCache>
            </c:strRef>
          </c:tx>
          <c:spPr>
            <a:gradFill flip="none" rotWithShape="1">
              <a:gsLst>
                <a:gs pos="0">
                  <a:schemeClr val="bg1"/>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2700000" scaled="1"/>
              <a:tileRect/>
            </a:gradFill>
            <a:ln>
              <a:noFill/>
            </a:ln>
          </c:spPr>
          <c:dLbls>
            <c:dLbl>
              <c:idx val="0"/>
              <c:layout>
                <c:manualLayout>
                  <c:x val="1.0050251256281407E-2"/>
                  <c:y val="0"/>
                </c:manualLayout>
              </c:layout>
              <c:showVal val="1"/>
            </c:dLbl>
            <c:dLbl>
              <c:idx val="1"/>
              <c:layout>
                <c:manualLayout>
                  <c:x val="1.0050251256281407E-2"/>
                  <c:y val="0"/>
                </c:manualLayout>
              </c:layout>
              <c:showVal val="1"/>
            </c:dLbl>
            <c:dLbl>
              <c:idx val="2"/>
              <c:layout>
                <c:manualLayout>
                  <c:x val="1.0050251256281407E-2"/>
                  <c:y val="2.7281430874328824E-17"/>
                </c:manualLayout>
              </c:layout>
              <c:showVal val="1"/>
            </c:dLbl>
            <c:dLbl>
              <c:idx val="3"/>
              <c:layout>
                <c:manualLayout>
                  <c:x val="1.6750418760469041E-2"/>
                  <c:y val="0"/>
                </c:manualLayout>
              </c:layout>
              <c:showVal val="1"/>
            </c:dLbl>
            <c:txPr>
              <a:bodyPr/>
              <a:lstStyle/>
              <a:p>
                <a:pPr>
                  <a:defRPr lang="en-US" b="1"/>
                </a:pPr>
                <a:endParaRPr lang="id-ID"/>
              </a:p>
            </c:txPr>
            <c:showVal val="1"/>
          </c:dLbls>
          <c:cat>
            <c:strRef>
              <c:f>'RAL FAKTORIAL'!$AA$22:$AA$25</c:f>
              <c:strCache>
                <c:ptCount val="4"/>
                <c:pt idx="0">
                  <c:v>a2</c:v>
                </c:pt>
                <c:pt idx="1">
                  <c:v>a1</c:v>
                </c:pt>
                <c:pt idx="2">
                  <c:v>a3</c:v>
                </c:pt>
                <c:pt idx="3">
                  <c:v>a4</c:v>
                </c:pt>
              </c:strCache>
            </c:strRef>
          </c:cat>
          <c:val>
            <c:numRef>
              <c:f>'RAL FAKTORIAL'!$AB$22:$AB$25</c:f>
              <c:numCache>
                <c:formatCode>0.00</c:formatCode>
                <c:ptCount val="4"/>
                <c:pt idx="0">
                  <c:v>40.416666666666558</c:v>
                </c:pt>
                <c:pt idx="1">
                  <c:v>41.666666666666593</c:v>
                </c:pt>
                <c:pt idx="2">
                  <c:v>45.833333333333336</c:v>
                </c:pt>
                <c:pt idx="3">
                  <c:v>61.25</c:v>
                </c:pt>
              </c:numCache>
            </c:numRef>
          </c:val>
        </c:ser>
        <c:shape val="box"/>
        <c:axId val="88016768"/>
        <c:axId val="88027136"/>
        <c:axId val="0"/>
      </c:bar3DChart>
      <c:catAx>
        <c:axId val="88016768"/>
        <c:scaling>
          <c:orientation val="minMax"/>
        </c:scaling>
        <c:axPos val="b"/>
        <c:title>
          <c:tx>
            <c:rich>
              <a:bodyPr/>
              <a:lstStyle/>
              <a:p>
                <a:pPr>
                  <a:defRPr lang="en-US"/>
                </a:pPr>
                <a:r>
                  <a:rPr lang="en-US"/>
                  <a:t>Perlakuan</a:t>
                </a:r>
              </a:p>
            </c:rich>
          </c:tx>
        </c:title>
        <c:majorTickMark val="none"/>
        <c:tickLblPos val="nextTo"/>
        <c:txPr>
          <a:bodyPr/>
          <a:lstStyle/>
          <a:p>
            <a:pPr>
              <a:defRPr lang="en-US" b="1"/>
            </a:pPr>
            <a:endParaRPr lang="id-ID"/>
          </a:p>
        </c:txPr>
        <c:crossAx val="88027136"/>
        <c:crosses val="autoZero"/>
        <c:auto val="1"/>
        <c:lblAlgn val="ctr"/>
        <c:lblOffset val="100"/>
      </c:catAx>
      <c:valAx>
        <c:axId val="88027136"/>
        <c:scaling>
          <c:orientation val="minMax"/>
        </c:scaling>
        <c:axPos val="l"/>
        <c:majorGridlines/>
        <c:title>
          <c:tx>
            <c:rich>
              <a:bodyPr/>
              <a:lstStyle/>
              <a:p>
                <a:pPr>
                  <a:defRPr lang="en-US"/>
                </a:pPr>
                <a:r>
                  <a:rPr lang="en-US" b="1"/>
                  <a:t>Volume Akar (cm³)</a:t>
                </a:r>
              </a:p>
            </c:rich>
          </c:tx>
        </c:title>
        <c:numFmt formatCode="0.00" sourceLinked="1"/>
        <c:tickLblPos val="nextTo"/>
        <c:txPr>
          <a:bodyPr/>
          <a:lstStyle/>
          <a:p>
            <a:pPr>
              <a:defRPr lang="en-US"/>
            </a:pPr>
            <a:endParaRPr lang="id-ID"/>
          </a:p>
        </c:txPr>
        <c:crossAx val="88016768"/>
        <c:crosses val="autoZero"/>
        <c:crossBetween val="between"/>
      </c:valAx>
    </c:plotArea>
    <c:legend>
      <c:legendPos val="r"/>
      <c:layout>
        <c:manualLayout>
          <c:xMode val="edge"/>
          <c:yMode val="edge"/>
          <c:x val="0.81149236998641339"/>
          <c:y val="0.11880061867266591"/>
          <c:w val="0.16170695999683471"/>
          <c:h val="0.32787448443944656"/>
        </c:manualLayout>
      </c:layout>
      <c:txPr>
        <a:bodyPr/>
        <a:lstStyle/>
        <a:p>
          <a:pPr>
            <a:defRPr lang="en-US" b="1"/>
          </a:pPr>
          <a:endParaRPr lang="id-ID"/>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strRef>
              <c:f>'Rancangan Faktorial'!$AF$77</c:f>
              <c:strCache>
                <c:ptCount val="1"/>
                <c:pt idx="0">
                  <c:v>A. niger</c:v>
                </c:pt>
              </c:strCache>
            </c:strRef>
          </c:tx>
          <c:spPr>
            <a:gradFill>
              <a:gsLst>
                <a:gs pos="0">
                  <a:schemeClr val="accent1">
                    <a:lumMod val="20000"/>
                    <a:lumOff val="80000"/>
                  </a:schemeClr>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10800000" scaled="0"/>
            </a:gradFill>
          </c:spPr>
          <c:dLbls>
            <c:dLbl>
              <c:idx val="0"/>
              <c:layout>
                <c:manualLayout>
                  <c:x val="1.6666666666666701E-2"/>
                  <c:y val="-4.6296296296296424E-3"/>
                </c:manualLayout>
              </c:layout>
              <c:showVal val="1"/>
            </c:dLbl>
            <c:dLbl>
              <c:idx val="1"/>
              <c:layout>
                <c:manualLayout>
                  <c:x val="1.6666666666666621E-2"/>
                  <c:y val="-1.3888888888888926E-2"/>
                </c:manualLayout>
              </c:layout>
              <c:showVal val="1"/>
            </c:dLbl>
            <c:dLbl>
              <c:idx val="2"/>
              <c:layout>
                <c:manualLayout>
                  <c:x val="1.6666666666666701E-2"/>
                  <c:y val="-1.3888888888888904E-2"/>
                </c:manualLayout>
              </c:layout>
              <c:showVal val="1"/>
            </c:dLbl>
            <c:dLbl>
              <c:idx val="3"/>
              <c:layout>
                <c:manualLayout>
                  <c:x val="1.6451514270159822E-2"/>
                  <c:y val="-3.4807163882898291E-2"/>
                </c:manualLayout>
              </c:layout>
              <c:showVal val="1"/>
            </c:dLbl>
            <c:txPr>
              <a:bodyPr/>
              <a:lstStyle/>
              <a:p>
                <a:pPr>
                  <a:defRPr lang="en-US" b="1"/>
                </a:pPr>
                <a:endParaRPr lang="id-ID"/>
              </a:p>
            </c:txPr>
            <c:showVal val="1"/>
          </c:dLbls>
          <c:cat>
            <c:strRef>
              <c:f>'Rancangan Faktorial'!$Y$78:$Y$81</c:f>
              <c:strCache>
                <c:ptCount val="4"/>
                <c:pt idx="0">
                  <c:v>a2</c:v>
                </c:pt>
                <c:pt idx="1">
                  <c:v>a1</c:v>
                </c:pt>
                <c:pt idx="2">
                  <c:v>a3</c:v>
                </c:pt>
                <c:pt idx="3">
                  <c:v>a4</c:v>
                </c:pt>
              </c:strCache>
            </c:strRef>
          </c:cat>
          <c:val>
            <c:numRef>
              <c:f>'Rancangan Faktorial'!$Z$78:$Z$81</c:f>
              <c:numCache>
                <c:formatCode>0.00</c:formatCode>
                <c:ptCount val="4"/>
                <c:pt idx="0">
                  <c:v>6.6429583333333326</c:v>
                </c:pt>
                <c:pt idx="1">
                  <c:v>7.1338333333333379</c:v>
                </c:pt>
                <c:pt idx="2">
                  <c:v>7.9033666666666704</c:v>
                </c:pt>
                <c:pt idx="3">
                  <c:v>9.8048333333333328</c:v>
                </c:pt>
              </c:numCache>
            </c:numRef>
          </c:val>
        </c:ser>
        <c:shape val="box"/>
        <c:axId val="88097152"/>
        <c:axId val="88099072"/>
        <c:axId val="0"/>
      </c:bar3DChart>
      <c:catAx>
        <c:axId val="88097152"/>
        <c:scaling>
          <c:orientation val="minMax"/>
        </c:scaling>
        <c:axPos val="b"/>
        <c:title>
          <c:tx>
            <c:rich>
              <a:bodyPr/>
              <a:lstStyle/>
              <a:p>
                <a:pPr>
                  <a:defRPr lang="en-US"/>
                </a:pPr>
                <a:r>
                  <a:rPr lang="en-US"/>
                  <a:t>Perlakuan</a:t>
                </a:r>
              </a:p>
            </c:rich>
          </c:tx>
        </c:title>
        <c:majorTickMark val="none"/>
        <c:tickLblPos val="nextTo"/>
        <c:txPr>
          <a:bodyPr/>
          <a:lstStyle/>
          <a:p>
            <a:pPr>
              <a:defRPr lang="en-US" b="1"/>
            </a:pPr>
            <a:endParaRPr lang="id-ID"/>
          </a:p>
        </c:txPr>
        <c:crossAx val="88099072"/>
        <c:crosses val="autoZero"/>
        <c:auto val="1"/>
        <c:lblAlgn val="ctr"/>
        <c:lblOffset val="100"/>
      </c:catAx>
      <c:valAx>
        <c:axId val="88099072"/>
        <c:scaling>
          <c:orientation val="minMax"/>
        </c:scaling>
        <c:axPos val="l"/>
        <c:majorGridlines/>
        <c:title>
          <c:tx>
            <c:rich>
              <a:bodyPr/>
              <a:lstStyle/>
              <a:p>
                <a:pPr>
                  <a:defRPr lang="en-US"/>
                </a:pPr>
                <a:r>
                  <a:rPr lang="en-US"/>
                  <a:t>Serapan P (ppm)</a:t>
                </a:r>
              </a:p>
            </c:rich>
          </c:tx>
        </c:title>
        <c:numFmt formatCode="0.00" sourceLinked="1"/>
        <c:tickLblPos val="nextTo"/>
        <c:txPr>
          <a:bodyPr/>
          <a:lstStyle/>
          <a:p>
            <a:pPr>
              <a:defRPr lang="en-US"/>
            </a:pPr>
            <a:endParaRPr lang="id-ID"/>
          </a:p>
        </c:txPr>
        <c:crossAx val="88097152"/>
        <c:crosses val="autoZero"/>
        <c:crossBetween val="between"/>
      </c:valAx>
    </c:plotArea>
    <c:legend>
      <c:legendPos val="r"/>
      <c:layout>
        <c:manualLayout>
          <c:xMode val="edge"/>
          <c:yMode val="edge"/>
          <c:x val="0.78963220073361706"/>
          <c:y val="0.11554862933799942"/>
          <c:w val="0.17895118134060359"/>
          <c:h val="0.17168015456401284"/>
        </c:manualLayout>
      </c:layout>
      <c:txPr>
        <a:bodyPr/>
        <a:lstStyle/>
        <a:p>
          <a:pPr>
            <a:defRPr lang="en-US" b="1"/>
          </a:pPr>
          <a:endParaRPr lang="id-ID"/>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strRef>
              <c:f>'Rancangan Faktorial Ral'!$AJ$24</c:f>
              <c:strCache>
                <c:ptCount val="1"/>
                <c:pt idx="0">
                  <c:v>A. niger</c:v>
                </c:pt>
              </c:strCache>
            </c:strRef>
          </c:tx>
          <c:spPr>
            <a:gradFill>
              <a:gsLst>
                <a:gs pos="0">
                  <a:schemeClr val="bg2"/>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0" scaled="0"/>
            </a:gradFill>
          </c:spPr>
          <c:dLbls>
            <c:dLbl>
              <c:idx val="3"/>
              <c:layout>
                <c:manualLayout>
                  <c:x val="1.3888888888888938E-2"/>
                  <c:y val="-5.1282051282051403E-3"/>
                </c:manualLayout>
              </c:layout>
              <c:showVal val="1"/>
            </c:dLbl>
            <c:txPr>
              <a:bodyPr/>
              <a:lstStyle/>
              <a:p>
                <a:pPr>
                  <a:defRPr lang="en-US" b="1"/>
                </a:pPr>
                <a:endParaRPr lang="id-ID"/>
              </a:p>
            </c:txPr>
            <c:showVal val="1"/>
          </c:dLbls>
          <c:cat>
            <c:strRef>
              <c:f>'Rancangan Faktorial Ral'!$AH$14:$AH$17</c:f>
              <c:strCache>
                <c:ptCount val="4"/>
                <c:pt idx="0">
                  <c:v>a2</c:v>
                </c:pt>
                <c:pt idx="1">
                  <c:v>a3</c:v>
                </c:pt>
                <c:pt idx="2">
                  <c:v>a1</c:v>
                </c:pt>
                <c:pt idx="3">
                  <c:v>a4</c:v>
                </c:pt>
              </c:strCache>
            </c:strRef>
          </c:cat>
          <c:val>
            <c:numRef>
              <c:f>'Rancangan Faktorial Ral'!$AP$14:$AP$17</c:f>
              <c:numCache>
                <c:formatCode>0.00</c:formatCode>
                <c:ptCount val="4"/>
                <c:pt idx="0">
                  <c:v>33.642500000000013</c:v>
                </c:pt>
                <c:pt idx="1">
                  <c:v>36.786666666666513</c:v>
                </c:pt>
                <c:pt idx="2">
                  <c:v>37.031666666666489</c:v>
                </c:pt>
                <c:pt idx="3">
                  <c:v>51.167500000000011</c:v>
                </c:pt>
              </c:numCache>
            </c:numRef>
          </c:val>
        </c:ser>
        <c:ser>
          <c:idx val="1"/>
          <c:order val="1"/>
          <c:tx>
            <c:strRef>
              <c:f>'Rancangan Faktorial Ral'!$AJ$25</c:f>
              <c:strCache>
                <c:ptCount val="1"/>
                <c:pt idx="0">
                  <c:v>G. virens</c:v>
                </c:pt>
              </c:strCache>
            </c:strRef>
          </c:tx>
          <c:spPr>
            <a:gradFill>
              <a:gsLst>
                <a:gs pos="0">
                  <a:srgbClr val="EEECE1"/>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4200000" scaled="0"/>
            </a:gradFill>
          </c:spPr>
          <c:dLbls>
            <c:dLbl>
              <c:idx val="0"/>
              <c:layout>
                <c:manualLayout>
                  <c:x val="2.5000000000000001E-2"/>
                  <c:y val="-1.0256410256410263E-2"/>
                </c:manualLayout>
              </c:layout>
              <c:showVal val="1"/>
            </c:dLbl>
            <c:dLbl>
              <c:idx val="1"/>
              <c:layout>
                <c:manualLayout>
                  <c:x val="2.4999781277340333E-2"/>
                  <c:y val="-3.5897435897435874E-2"/>
                </c:manualLayout>
              </c:layout>
              <c:showVal val="1"/>
            </c:dLbl>
            <c:dLbl>
              <c:idx val="2"/>
              <c:layout>
                <c:manualLayout>
                  <c:x val="2.2222222222222251E-2"/>
                  <c:y val="-1.5384615384615396E-2"/>
                </c:manualLayout>
              </c:layout>
              <c:showVal val="1"/>
            </c:dLbl>
            <c:dLbl>
              <c:idx val="3"/>
              <c:layout>
                <c:manualLayout>
                  <c:x val="3.333333333333334E-2"/>
                  <c:y val="0"/>
                </c:manualLayout>
              </c:layout>
              <c:showVal val="1"/>
            </c:dLbl>
            <c:txPr>
              <a:bodyPr/>
              <a:lstStyle/>
              <a:p>
                <a:pPr>
                  <a:defRPr lang="en-US" b="1"/>
                </a:pPr>
                <a:endParaRPr lang="id-ID"/>
              </a:p>
            </c:txPr>
            <c:showVal val="1"/>
          </c:dLbls>
          <c:cat>
            <c:strRef>
              <c:f>'Rancangan Faktorial Ral'!$AH$14:$AH$17</c:f>
              <c:strCache>
                <c:ptCount val="4"/>
                <c:pt idx="0">
                  <c:v>a2</c:v>
                </c:pt>
                <c:pt idx="1">
                  <c:v>a3</c:v>
                </c:pt>
                <c:pt idx="2">
                  <c:v>a1</c:v>
                </c:pt>
                <c:pt idx="3">
                  <c:v>a4</c:v>
                </c:pt>
              </c:strCache>
            </c:strRef>
          </c:cat>
          <c:val>
            <c:numRef>
              <c:f>'Rancangan Faktorial Ral'!$AQ$14:$AQ$17</c:f>
              <c:numCache>
                <c:formatCode>0.00</c:formatCode>
                <c:ptCount val="4"/>
                <c:pt idx="0">
                  <c:v>36.903333333333336</c:v>
                </c:pt>
                <c:pt idx="1">
                  <c:v>38.642500000000013</c:v>
                </c:pt>
                <c:pt idx="2">
                  <c:v>39.205000000000013</c:v>
                </c:pt>
                <c:pt idx="3">
                  <c:v>43.877500000000005</c:v>
                </c:pt>
              </c:numCache>
            </c:numRef>
          </c:val>
        </c:ser>
        <c:shape val="box"/>
        <c:axId val="92274688"/>
        <c:axId val="92276608"/>
        <c:axId val="0"/>
      </c:bar3DChart>
      <c:catAx>
        <c:axId val="92274688"/>
        <c:scaling>
          <c:orientation val="minMax"/>
        </c:scaling>
        <c:axPos val="b"/>
        <c:title>
          <c:tx>
            <c:rich>
              <a:bodyPr/>
              <a:lstStyle/>
              <a:p>
                <a:pPr>
                  <a:defRPr lang="en-US"/>
                </a:pPr>
                <a:r>
                  <a:rPr lang="en-US"/>
                  <a:t>Perlakuan</a:t>
                </a:r>
              </a:p>
            </c:rich>
          </c:tx>
        </c:title>
        <c:majorTickMark val="none"/>
        <c:tickLblPos val="nextTo"/>
        <c:txPr>
          <a:bodyPr/>
          <a:lstStyle/>
          <a:p>
            <a:pPr>
              <a:defRPr lang="en-US" b="1"/>
            </a:pPr>
            <a:endParaRPr lang="id-ID"/>
          </a:p>
        </c:txPr>
        <c:crossAx val="92276608"/>
        <c:crosses val="autoZero"/>
        <c:auto val="1"/>
        <c:lblAlgn val="ctr"/>
        <c:lblOffset val="100"/>
      </c:catAx>
      <c:valAx>
        <c:axId val="92276608"/>
        <c:scaling>
          <c:orientation val="minMax"/>
        </c:scaling>
        <c:axPos val="l"/>
        <c:majorGridlines/>
        <c:title>
          <c:tx>
            <c:rich>
              <a:bodyPr/>
              <a:lstStyle/>
              <a:p>
                <a:pPr>
                  <a:defRPr lang="en-US"/>
                </a:pPr>
                <a:r>
                  <a:rPr lang="en-US"/>
                  <a:t>Bobot Kering (g)</a:t>
                </a:r>
              </a:p>
            </c:rich>
          </c:tx>
        </c:title>
        <c:numFmt formatCode="0.00" sourceLinked="1"/>
        <c:tickLblPos val="nextTo"/>
        <c:txPr>
          <a:bodyPr/>
          <a:lstStyle/>
          <a:p>
            <a:pPr>
              <a:defRPr lang="en-US"/>
            </a:pPr>
            <a:endParaRPr lang="id-ID"/>
          </a:p>
        </c:txPr>
        <c:crossAx val="92274688"/>
        <c:crosses val="autoZero"/>
        <c:crossBetween val="between"/>
      </c:valAx>
    </c:plotArea>
    <c:legend>
      <c:legendPos val="r"/>
      <c:layout>
        <c:manualLayout>
          <c:xMode val="edge"/>
          <c:yMode val="edge"/>
          <c:x val="0.84706695446852964"/>
          <c:y val="0.25907847198747219"/>
          <c:w val="0.13748903008745575"/>
          <c:h val="0.33345084879064618"/>
        </c:manualLayout>
      </c:layout>
      <c:txPr>
        <a:bodyPr/>
        <a:lstStyle/>
        <a:p>
          <a:pPr>
            <a:defRPr lang="en-US" b="1"/>
          </a:pPr>
          <a:endParaRPr lang="id-ID"/>
        </a:p>
      </c:txPr>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5FE43-3833-4615-9966-4719CA08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2945</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19694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agus ruliyansyah</cp:lastModifiedBy>
  <cp:revision>52</cp:revision>
  <cp:lastPrinted>2013-02-09T00:46:00Z</cp:lastPrinted>
  <dcterms:created xsi:type="dcterms:W3CDTF">2013-01-10T13:34:00Z</dcterms:created>
  <dcterms:modified xsi:type="dcterms:W3CDTF">2013-07-04T07:00:00Z</dcterms:modified>
</cp:coreProperties>
</file>